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rFonts w:asciiTheme="minorEastAsia" w:hAnsiTheme="minorEastAsia" w:eastAsiaTheme="minorEastAsia"/>
          <w:b/>
          <w:bCs/>
        </w:rPr>
      </w:pPr>
    </w:p>
    <w:p>
      <w:pPr>
        <w:rPr>
          <w:rFonts w:asciiTheme="minorEastAsia" w:hAnsiTheme="minorEastAsia" w:eastAsiaTheme="minorEastAsia"/>
          <w:b/>
          <w:bCs/>
          <w:spacing w:val="26"/>
        </w:rPr>
      </w:pPr>
    </w:p>
    <w:p>
      <w:pPr>
        <w:jc w:val="center"/>
        <w:rPr>
          <w:rFonts w:ascii="Times New Roman" w:hAnsi="宋体"/>
          <w:b/>
          <w:bCs/>
          <w:spacing w:val="26"/>
          <w:kern w:val="2"/>
          <w:sz w:val="84"/>
          <w:szCs w:val="84"/>
          <w:lang w:eastAsia="zh-CN" w:bidi="ar-SA"/>
        </w:rPr>
      </w:pPr>
    </w:p>
    <w:p>
      <w:pPr>
        <w:jc w:val="center"/>
        <w:rPr>
          <w:rFonts w:ascii="Times New Roman" w:hAnsi="宋体"/>
          <w:b/>
          <w:bCs/>
          <w:spacing w:val="26"/>
          <w:kern w:val="2"/>
          <w:sz w:val="84"/>
          <w:szCs w:val="84"/>
          <w:lang w:eastAsia="zh-CN" w:bidi="ar-SA"/>
        </w:rPr>
      </w:pPr>
    </w:p>
    <w:p>
      <w:pPr>
        <w:jc w:val="center"/>
        <w:rPr>
          <w:rFonts w:asciiTheme="minorEastAsia" w:hAnsiTheme="minorEastAsia" w:eastAsiaTheme="minorEastAsia"/>
          <w:b/>
          <w:bCs/>
          <w:spacing w:val="26"/>
          <w:lang w:eastAsia="zh-CN"/>
        </w:rPr>
      </w:pPr>
      <w:r>
        <w:rPr>
          <w:rFonts w:hint="eastAsia" w:ascii="Times New Roman" w:hAnsi="宋体"/>
          <w:b/>
          <w:bCs/>
          <w:spacing w:val="26"/>
          <w:kern w:val="2"/>
          <w:sz w:val="84"/>
          <w:szCs w:val="84"/>
          <w:lang w:eastAsia="zh-CN" w:bidi="ar-SA"/>
        </w:rPr>
        <w:t>招 标 文 件</w:t>
      </w:r>
    </w:p>
    <w:p>
      <w:pPr>
        <w:jc w:val="center"/>
        <w:rPr>
          <w:rFonts w:asciiTheme="minorEastAsia" w:hAnsiTheme="minorEastAsia" w:eastAsiaTheme="minorEastAsia"/>
          <w:b/>
          <w:bCs/>
          <w:spacing w:val="26"/>
          <w:lang w:eastAsia="zh-CN"/>
        </w:rPr>
      </w:pPr>
    </w:p>
    <w:p>
      <w:pPr>
        <w:keepNext w:val="0"/>
        <w:keepLines w:val="0"/>
        <w:widowControl/>
        <w:suppressLineNumbers w:val="0"/>
        <w:jc w:val="center"/>
        <w:rPr>
          <w:rFonts w:hint="eastAsia" w:ascii="Times New Roman" w:hAnsi="宋体"/>
          <w:b/>
          <w:bCs/>
          <w:kern w:val="2"/>
          <w:sz w:val="36"/>
          <w:szCs w:val="36"/>
          <w:lang w:val="en-US" w:eastAsia="zh-CN" w:bidi="ar-SA"/>
        </w:rPr>
      </w:pPr>
      <w:r>
        <w:rPr>
          <w:rFonts w:hint="eastAsia" w:ascii="Times New Roman" w:hAnsi="宋体"/>
          <w:b/>
          <w:bCs/>
          <w:kern w:val="2"/>
          <w:sz w:val="36"/>
          <w:szCs w:val="36"/>
          <w:lang w:eastAsia="zh-CN" w:bidi="ar-SA"/>
        </w:rPr>
        <w:t>项目名称：</w:t>
      </w:r>
      <w:r>
        <w:rPr>
          <w:rFonts w:hint="eastAsia" w:ascii="Times New Roman" w:hAnsi="宋体"/>
          <w:b/>
          <w:bCs/>
          <w:kern w:val="2"/>
          <w:sz w:val="36"/>
          <w:szCs w:val="36"/>
          <w:lang w:val="en-US" w:eastAsia="zh-CN" w:bidi="ar-SA"/>
        </w:rPr>
        <w:t>2022年中国（厦门）跨境电商展</w:t>
      </w:r>
    </w:p>
    <w:p>
      <w:pPr>
        <w:keepNext w:val="0"/>
        <w:keepLines w:val="0"/>
        <w:widowControl/>
        <w:suppressLineNumbers w:val="0"/>
        <w:jc w:val="center"/>
        <w:rPr>
          <w:rFonts w:ascii="Times New Roman" w:hAnsi="宋体"/>
          <w:b/>
          <w:bCs/>
          <w:kern w:val="2"/>
          <w:sz w:val="36"/>
          <w:szCs w:val="36"/>
          <w:lang w:eastAsia="zh-CN" w:bidi="ar-SA"/>
        </w:rPr>
      </w:pPr>
      <w:r>
        <w:rPr>
          <w:rFonts w:hint="eastAsia" w:ascii="Times New Roman" w:hAnsi="宋体"/>
          <w:b/>
          <w:bCs/>
          <w:kern w:val="2"/>
          <w:sz w:val="36"/>
          <w:szCs w:val="36"/>
          <w:lang w:val="en-US" w:eastAsia="zh-CN" w:bidi="ar-SA"/>
        </w:rPr>
        <w:t>综合运营服务</w:t>
      </w:r>
    </w:p>
    <w:p>
      <w:pPr>
        <w:widowControl w:val="0"/>
        <w:adjustRightInd w:val="0"/>
        <w:snapToGrid w:val="0"/>
        <w:spacing w:after="0" w:line="360" w:lineRule="auto"/>
        <w:ind w:left="2344" w:leftChars="226" w:right="656" w:rightChars="298" w:hanging="1847" w:hangingChars="511"/>
        <w:jc w:val="both"/>
        <w:rPr>
          <w:rFonts w:ascii="Times New Roman" w:hAnsi="宋体"/>
          <w:b/>
          <w:bCs/>
          <w:kern w:val="2"/>
          <w:sz w:val="36"/>
          <w:szCs w:val="36"/>
          <w:lang w:eastAsia="zh-CN" w:bidi="ar-SA"/>
        </w:rPr>
      </w:pPr>
    </w:p>
    <w:p>
      <w:pPr>
        <w:widowControl w:val="0"/>
        <w:adjustRightInd w:val="0"/>
        <w:snapToGrid w:val="0"/>
        <w:spacing w:after="0" w:line="360" w:lineRule="auto"/>
        <w:ind w:left="2344" w:leftChars="226" w:right="656" w:rightChars="298" w:hanging="1847" w:hangingChars="511"/>
        <w:jc w:val="center"/>
        <w:rPr>
          <w:rFonts w:hint="default" w:ascii="Times New Roman" w:hAnsi="宋体"/>
          <w:b/>
          <w:bCs/>
          <w:kern w:val="2"/>
          <w:sz w:val="36"/>
          <w:szCs w:val="36"/>
          <w:lang w:val="en-US" w:eastAsia="zh-CN" w:bidi="ar-SA"/>
        </w:rPr>
      </w:pPr>
      <w:r>
        <w:rPr>
          <w:rFonts w:hint="eastAsia" w:ascii="Times New Roman" w:hAnsi="宋体"/>
          <w:b/>
          <w:bCs/>
          <w:kern w:val="2"/>
          <w:sz w:val="36"/>
          <w:szCs w:val="36"/>
          <w:lang w:val="en-US" w:eastAsia="zh-CN" w:bidi="ar-SA"/>
        </w:rPr>
        <w:t>招标编号：COICXM-2021-001</w:t>
      </w:r>
    </w:p>
    <w:p>
      <w:pPr>
        <w:widowControl w:val="0"/>
        <w:adjustRightInd w:val="0"/>
        <w:snapToGrid w:val="0"/>
        <w:spacing w:after="0" w:line="360" w:lineRule="auto"/>
        <w:ind w:left="2344" w:leftChars="226" w:right="656" w:rightChars="298" w:hanging="1847" w:hangingChars="511"/>
        <w:jc w:val="center"/>
        <w:rPr>
          <w:rFonts w:ascii="Times New Roman" w:hAnsi="宋体"/>
          <w:b/>
          <w:bCs/>
          <w:kern w:val="2"/>
          <w:sz w:val="36"/>
          <w:szCs w:val="36"/>
          <w:lang w:eastAsia="zh-CN" w:bidi="ar-SA"/>
        </w:rPr>
      </w:pPr>
      <w:r>
        <w:rPr>
          <w:rFonts w:hint="eastAsia" w:ascii="Times New Roman" w:hAnsi="宋体"/>
          <w:b/>
          <w:bCs/>
          <w:kern w:val="2"/>
          <w:sz w:val="36"/>
          <w:szCs w:val="36"/>
          <w:lang w:eastAsia="zh-CN" w:bidi="ar-SA"/>
        </w:rPr>
        <w:t>招标人：</w:t>
      </w:r>
      <w:r>
        <w:rPr>
          <w:rFonts w:hint="eastAsia" w:ascii="Times New Roman" w:hAnsi="宋体"/>
          <w:b/>
          <w:bCs/>
          <w:kern w:val="2"/>
          <w:sz w:val="36"/>
          <w:szCs w:val="36"/>
          <w:lang w:val="en-US" w:eastAsia="zh-CN" w:bidi="ar-SA"/>
        </w:rPr>
        <w:t>厦门国际商会</w:t>
      </w:r>
    </w:p>
    <w:p>
      <w:pPr>
        <w:widowControl w:val="0"/>
        <w:adjustRightInd w:val="0"/>
        <w:snapToGrid w:val="0"/>
        <w:spacing w:after="0" w:line="360" w:lineRule="auto"/>
        <w:ind w:left="2344" w:leftChars="226" w:right="656" w:rightChars="298" w:hanging="1847" w:hangingChars="511"/>
        <w:jc w:val="both"/>
        <w:rPr>
          <w:rFonts w:ascii="Times New Roman" w:hAnsi="宋体"/>
          <w:b/>
          <w:bCs/>
          <w:kern w:val="2"/>
          <w:sz w:val="36"/>
          <w:szCs w:val="36"/>
          <w:lang w:eastAsia="zh-CN" w:bidi="ar-SA"/>
        </w:rPr>
      </w:pPr>
    </w:p>
    <w:p>
      <w:pPr>
        <w:widowControl w:val="0"/>
        <w:adjustRightInd w:val="0"/>
        <w:snapToGrid w:val="0"/>
        <w:spacing w:after="0" w:line="360" w:lineRule="auto"/>
        <w:ind w:left="2344" w:leftChars="226" w:right="656" w:rightChars="298" w:hanging="1847" w:hangingChars="511"/>
        <w:jc w:val="both"/>
        <w:rPr>
          <w:rFonts w:ascii="Times New Roman" w:hAnsi="宋体"/>
          <w:b/>
          <w:bCs/>
          <w:kern w:val="2"/>
          <w:sz w:val="36"/>
          <w:szCs w:val="36"/>
          <w:lang w:eastAsia="zh-CN" w:bidi="ar-SA"/>
        </w:rPr>
      </w:pPr>
    </w:p>
    <w:p>
      <w:pPr>
        <w:widowControl w:val="0"/>
        <w:adjustRightInd w:val="0"/>
        <w:snapToGrid w:val="0"/>
        <w:spacing w:after="0" w:line="360" w:lineRule="auto"/>
        <w:ind w:left="2344" w:leftChars="226" w:right="656" w:rightChars="298" w:hanging="1847" w:hangingChars="511"/>
        <w:jc w:val="center"/>
        <w:rPr>
          <w:rFonts w:ascii="Times New Roman" w:hAnsi="宋体"/>
          <w:b/>
          <w:bCs/>
          <w:kern w:val="2"/>
          <w:sz w:val="36"/>
          <w:szCs w:val="36"/>
          <w:lang w:eastAsia="zh-CN" w:bidi="ar-SA"/>
        </w:rPr>
        <w:sectPr>
          <w:headerReference r:id="rId5" w:type="default"/>
          <w:footerReference r:id="rId6" w:type="default"/>
          <w:pgSz w:w="11906" w:h="16838"/>
          <w:pgMar w:top="1089" w:right="1599" w:bottom="1089" w:left="1599" w:header="851" w:footer="850" w:gutter="0"/>
          <w:pgNumType w:fmt="decimal" w:start="0"/>
          <w:cols w:space="0" w:num="1"/>
          <w:docGrid w:linePitch="312" w:charSpace="0"/>
        </w:sectPr>
      </w:pPr>
      <w:r>
        <w:rPr>
          <w:rFonts w:hint="eastAsia" w:ascii="Times New Roman" w:hAnsi="宋体"/>
          <w:b/>
          <w:bCs/>
          <w:kern w:val="2"/>
          <w:sz w:val="36"/>
          <w:szCs w:val="36"/>
          <w:lang w:eastAsia="zh-CN" w:bidi="ar-SA"/>
        </w:rPr>
        <w:t>二零</w:t>
      </w:r>
      <w:r>
        <w:rPr>
          <w:rFonts w:hint="eastAsia" w:ascii="Times New Roman" w:hAnsi="宋体"/>
          <w:b/>
          <w:bCs/>
          <w:kern w:val="2"/>
          <w:sz w:val="36"/>
          <w:szCs w:val="36"/>
          <w:lang w:val="en-US" w:eastAsia="zh-CN" w:bidi="ar-SA"/>
        </w:rPr>
        <w:t>二一</w:t>
      </w:r>
      <w:r>
        <w:rPr>
          <w:rFonts w:hint="eastAsia" w:ascii="Times New Roman" w:hAnsi="宋体"/>
          <w:b/>
          <w:bCs/>
          <w:kern w:val="2"/>
          <w:sz w:val="36"/>
          <w:szCs w:val="36"/>
          <w:lang w:eastAsia="zh-CN" w:bidi="ar-SA"/>
        </w:rPr>
        <w:t>年</w:t>
      </w:r>
      <w:r>
        <w:rPr>
          <w:rFonts w:hint="eastAsia" w:ascii="Times New Roman" w:hAnsi="宋体"/>
          <w:b/>
          <w:bCs/>
          <w:kern w:val="2"/>
          <w:sz w:val="36"/>
          <w:szCs w:val="36"/>
          <w:lang w:val="en-US" w:eastAsia="zh-CN" w:bidi="ar-SA"/>
        </w:rPr>
        <w:t>八</w:t>
      </w:r>
      <w:r>
        <w:rPr>
          <w:rFonts w:hint="eastAsia" w:ascii="Times New Roman" w:hAnsi="宋体"/>
          <w:b/>
          <w:bCs/>
          <w:kern w:val="2"/>
          <w:sz w:val="36"/>
          <w:szCs w:val="36"/>
          <w:lang w:eastAsia="zh-CN" w:bidi="ar-SA"/>
        </w:rPr>
        <w:t>月</w:t>
      </w:r>
    </w:p>
    <w:p>
      <w:pPr>
        <w:jc w:val="center"/>
        <w:rPr>
          <w:rFonts w:hint="eastAsia" w:ascii="宋体" w:hAnsi="宋体" w:eastAsia="宋体" w:cs="宋体"/>
          <w:b/>
        </w:rPr>
      </w:pPr>
      <w:bookmarkStart w:id="0" w:name="_Toc49019215"/>
      <w:bookmarkStart w:id="1" w:name="_Toc47262048"/>
      <w:bookmarkStart w:id="2" w:name="_Toc48995830"/>
      <w:bookmarkStart w:id="3" w:name="_Toc236555290"/>
      <w:bookmarkStart w:id="4" w:name="_Toc48791214"/>
      <w:bookmarkStart w:id="5" w:name="_Toc47418917"/>
      <w:bookmarkStart w:id="6" w:name="_Toc47261669"/>
      <w:bookmarkStart w:id="7" w:name="_Toc47261864"/>
      <w:bookmarkStart w:id="8" w:name="_Toc47261049"/>
      <w:bookmarkStart w:id="9" w:name="_Toc99466899"/>
      <w:bookmarkStart w:id="10" w:name="_Toc47418234"/>
      <w:bookmarkStart w:id="11" w:name="_Toc47418710"/>
      <w:bookmarkStart w:id="12" w:name="_Toc324152510"/>
      <w:r>
        <w:rPr>
          <w:rFonts w:hint="eastAsia" w:ascii="宋体" w:hAnsi="宋体" w:eastAsia="宋体" w:cs="宋体"/>
          <w:b/>
        </w:rPr>
        <w:t>目录</w:t>
      </w:r>
    </w:p>
    <w:p>
      <w:pPr>
        <w:pStyle w:val="27"/>
        <w:tabs>
          <w:tab w:val="right" w:leader="dot" w:pos="8708"/>
        </w:tabs>
        <w:rPr>
          <w:rFonts w:hint="eastAsia" w:ascii="宋体" w:hAnsi="宋体" w:eastAsia="宋体" w:cs="宋体"/>
          <w:b/>
          <w:bCs/>
        </w:rPr>
      </w:pPr>
      <w:r>
        <w:rPr>
          <w:rFonts w:hint="eastAsia" w:ascii="宋体" w:hAnsi="宋体" w:eastAsia="宋体" w:cs="宋体"/>
        </w:rPr>
        <w:fldChar w:fldCharType="begin"/>
      </w:r>
      <w:r>
        <w:rPr>
          <w:rFonts w:hint="eastAsia" w:ascii="宋体" w:hAnsi="宋体" w:eastAsia="宋体" w:cs="宋体"/>
        </w:rPr>
        <w:instrText xml:space="preserve">TOC \o "1-3"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"_Toc17072" </w:instrText>
      </w:r>
      <w:r>
        <w:rPr>
          <w:rFonts w:hint="eastAsia" w:ascii="宋体" w:hAnsi="宋体" w:eastAsia="宋体" w:cs="宋体"/>
        </w:rPr>
        <w:fldChar w:fldCharType="separate"/>
      </w:r>
      <w:r>
        <w:rPr>
          <w:rFonts w:hint="eastAsia" w:ascii="宋体" w:hAnsi="宋体" w:eastAsia="宋体" w:cs="宋体"/>
          <w:b/>
          <w:bCs/>
          <w:kern w:val="44"/>
          <w:szCs w:val="36"/>
          <w:lang w:eastAsia="zh-CN" w:bidi="ar-SA"/>
        </w:rPr>
        <w:t>第一章  投标邀请书</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_Toc17072 </w:instrText>
      </w:r>
      <w:r>
        <w:rPr>
          <w:rFonts w:hint="eastAsia" w:ascii="宋体" w:hAnsi="宋体" w:eastAsia="宋体" w:cs="宋体"/>
          <w:b/>
          <w:bCs/>
        </w:rPr>
        <w:fldChar w:fldCharType="separate"/>
      </w:r>
      <w:r>
        <w:rPr>
          <w:rFonts w:hint="eastAsia" w:ascii="宋体" w:hAnsi="宋体" w:eastAsia="宋体" w:cs="宋体"/>
          <w:b/>
          <w:bCs/>
        </w:rPr>
        <w:t>1</w:t>
      </w:r>
      <w:r>
        <w:rPr>
          <w:rFonts w:hint="eastAsia" w:ascii="宋体" w:hAnsi="宋体" w:eastAsia="宋体" w:cs="宋体"/>
          <w:b/>
          <w:bCs/>
        </w:rPr>
        <w:fldChar w:fldCharType="end"/>
      </w:r>
      <w:r>
        <w:rPr>
          <w:rFonts w:hint="eastAsia" w:ascii="宋体" w:hAnsi="宋体" w:eastAsia="宋体" w:cs="宋体"/>
          <w:b/>
          <w:bCs/>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"_Toc27239" </w:instrText>
      </w:r>
      <w:r>
        <w:rPr>
          <w:rFonts w:hint="eastAsia" w:ascii="宋体" w:hAnsi="宋体" w:eastAsia="宋体" w:cs="宋体"/>
        </w:rPr>
        <w:fldChar w:fldCharType="separate"/>
      </w:r>
      <w:r>
        <w:rPr>
          <w:rFonts w:hint="eastAsia" w:ascii="宋体" w:hAnsi="宋体" w:eastAsia="宋体" w:cs="宋体"/>
          <w:lang w:eastAsia="zh-CN"/>
        </w:rPr>
        <w:t>1.招标条件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_Toc27239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"_Toc4892" </w:instrText>
      </w:r>
      <w:r>
        <w:rPr>
          <w:rFonts w:hint="eastAsia" w:ascii="宋体" w:hAnsi="宋体" w:eastAsia="宋体" w:cs="宋体"/>
        </w:rPr>
        <w:fldChar w:fldCharType="separate"/>
      </w:r>
      <w:r>
        <w:rPr>
          <w:rFonts w:hint="eastAsia" w:ascii="宋体" w:hAnsi="宋体" w:eastAsia="宋体" w:cs="宋体"/>
          <w:lang w:eastAsia="zh-CN"/>
        </w:rPr>
        <w:t>2.投资来源及预算</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_Toc4892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lang w:eastAsia="zh-CN"/>
        </w:rPr>
      </w:pPr>
      <w:r>
        <w:rPr>
          <w:rFonts w:hint="eastAsia" w:ascii="宋体" w:hAnsi="宋体" w:eastAsia="宋体" w:cs="宋体"/>
        </w:rPr>
        <w:fldChar w:fldCharType="begin"/>
      </w:r>
      <w:r>
        <w:rPr>
          <w:rFonts w:hint="eastAsia" w:ascii="宋体" w:hAnsi="宋体" w:eastAsia="宋体" w:cs="宋体"/>
        </w:rPr>
        <w:instrText xml:space="preserve"> HYPERLINK \l "_Toc14561" </w:instrText>
      </w:r>
      <w:r>
        <w:rPr>
          <w:rFonts w:hint="eastAsia" w:ascii="宋体" w:hAnsi="宋体" w:eastAsia="宋体" w:cs="宋体"/>
        </w:rPr>
        <w:fldChar w:fldCharType="separate"/>
      </w:r>
      <w:r>
        <w:rPr>
          <w:rFonts w:hint="eastAsia" w:ascii="宋体" w:hAnsi="宋体" w:eastAsia="宋体" w:cs="宋体"/>
          <w:lang w:eastAsia="zh-CN"/>
        </w:rPr>
        <w:t>3.招标范围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_Toc14561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lang w:val="en-US" w:eastAsia="zh-CN"/>
        </w:rPr>
      </w:pPr>
      <w:r>
        <w:rPr>
          <w:rFonts w:hint="eastAsia" w:ascii="宋体" w:hAnsi="宋体" w:eastAsia="宋体" w:cs="宋体"/>
          <w:lang w:val="en-US" w:eastAsia="zh-CN"/>
        </w:rPr>
        <w:t>4.投标人资格要求.................</w:t>
      </w:r>
      <w:r>
        <w:rPr>
          <w:rFonts w:hint="eastAsia" w:ascii="宋体" w:hAnsi="宋体" w:cs="宋体"/>
          <w:lang w:val="en-US" w:eastAsia="zh-CN"/>
        </w:rPr>
        <w:t>................................</w:t>
      </w:r>
      <w:r>
        <w:rPr>
          <w:rFonts w:hint="eastAsia" w:ascii="宋体" w:hAnsi="宋体" w:eastAsia="宋体" w:cs="宋体"/>
          <w:lang w:val="en-US" w:eastAsia="zh-CN"/>
        </w:rPr>
        <w:t>.........2</w:t>
      </w:r>
    </w:p>
    <w:p>
      <w:pPr>
        <w:pStyle w:val="33"/>
        <w:tabs>
          <w:tab w:val="right" w:leader="dot" w:pos="8708"/>
        </w:tabs>
        <w:ind w:left="440"/>
        <w:rPr>
          <w:rFonts w:hint="eastAsia" w:ascii="宋体" w:hAnsi="宋体" w:eastAsia="宋体" w:cs="宋体"/>
          <w:lang w:val="en-US" w:eastAsia="zh-CN"/>
        </w:rPr>
      </w:pPr>
      <w:r>
        <w:rPr>
          <w:rFonts w:hint="eastAsia" w:ascii="宋体" w:hAnsi="宋体" w:eastAsia="宋体" w:cs="宋体"/>
          <w:lang w:val="en-US" w:eastAsia="zh-CN"/>
        </w:rPr>
        <w:t>5.招标文件的获取.......................</w:t>
      </w:r>
      <w:r>
        <w:rPr>
          <w:rFonts w:hint="eastAsia" w:ascii="宋体" w:hAnsi="宋体" w:cs="宋体"/>
          <w:lang w:val="en-US" w:eastAsia="zh-CN"/>
        </w:rPr>
        <w:t>............................</w:t>
      </w:r>
      <w:r>
        <w:rPr>
          <w:rFonts w:hint="eastAsia" w:ascii="宋体" w:hAnsi="宋体" w:eastAsia="宋体" w:cs="宋体"/>
          <w:lang w:val="en-US" w:eastAsia="zh-CN"/>
        </w:rPr>
        <w:t>.......3</w:t>
      </w:r>
    </w:p>
    <w:p>
      <w:pPr>
        <w:pStyle w:val="33"/>
        <w:tabs>
          <w:tab w:val="right" w:leader="dot" w:pos="8708"/>
        </w:tabs>
        <w:ind w:left="440"/>
        <w:rPr>
          <w:rFonts w:hint="eastAsia" w:ascii="宋体" w:hAnsi="宋体" w:eastAsia="宋体" w:cs="宋体"/>
          <w:lang w:val="en-US" w:eastAsia="zh-CN"/>
        </w:rPr>
      </w:pPr>
      <w:r>
        <w:rPr>
          <w:rFonts w:hint="eastAsia" w:ascii="宋体" w:hAnsi="宋体" w:eastAsia="宋体" w:cs="宋体"/>
          <w:lang w:val="en-US" w:eastAsia="zh-CN"/>
        </w:rPr>
        <w:t>6.投标截止及开标时间与地点..................</w:t>
      </w:r>
      <w:r>
        <w:rPr>
          <w:rFonts w:hint="eastAsia" w:ascii="宋体" w:hAnsi="宋体" w:cs="宋体"/>
          <w:lang w:val="en-US" w:eastAsia="zh-CN"/>
        </w:rPr>
        <w:t>............................</w:t>
      </w:r>
      <w:r>
        <w:rPr>
          <w:rFonts w:hint="eastAsia" w:ascii="宋体" w:hAnsi="宋体" w:eastAsia="宋体" w:cs="宋体"/>
          <w:lang w:val="en-US" w:eastAsia="zh-CN"/>
        </w:rPr>
        <w:t>..3</w:t>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"_Toc11360" </w:instrText>
      </w:r>
      <w:r>
        <w:rPr>
          <w:rFonts w:hint="eastAsia" w:ascii="宋体" w:hAnsi="宋体" w:eastAsia="宋体" w:cs="宋体"/>
        </w:rPr>
        <w:fldChar w:fldCharType="separate"/>
      </w:r>
      <w:r>
        <w:rPr>
          <w:rFonts w:hint="eastAsia" w:ascii="宋体" w:hAnsi="宋体" w:eastAsia="宋体" w:cs="宋体"/>
          <w:lang w:val="en-US" w:eastAsia="zh-CN"/>
        </w:rPr>
        <w:t>7</w:t>
      </w:r>
      <w:r>
        <w:rPr>
          <w:rFonts w:hint="eastAsia" w:ascii="宋体" w:hAnsi="宋体" w:eastAsia="宋体" w:cs="宋体"/>
        </w:rPr>
        <w:t>.发布公告的媒介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_Toc11360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"_Toc29811" </w:instrText>
      </w:r>
      <w:r>
        <w:rPr>
          <w:rFonts w:hint="eastAsia" w:ascii="宋体" w:hAnsi="宋体" w:eastAsia="宋体" w:cs="宋体"/>
        </w:rPr>
        <w:fldChar w:fldCharType="separate"/>
      </w:r>
      <w:r>
        <w:rPr>
          <w:rFonts w:hint="eastAsia" w:ascii="宋体" w:hAnsi="宋体" w:eastAsia="宋体" w:cs="宋体"/>
          <w:lang w:val="en-US" w:eastAsia="zh-CN"/>
        </w:rPr>
        <w:t>8</w:t>
      </w:r>
      <w:r>
        <w:rPr>
          <w:rFonts w:hint="eastAsia" w:ascii="宋体" w:hAnsi="宋体" w:eastAsia="宋体" w:cs="宋体"/>
          <w:lang w:eastAsia="zh-CN"/>
        </w:rPr>
        <w:t>.联系方式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_Toc29811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27"/>
        <w:tabs>
          <w:tab w:val="right" w:leader="dot" w:pos="8708"/>
        </w:tabs>
        <w:rPr>
          <w:rFonts w:hint="eastAsia" w:ascii="宋体" w:hAnsi="宋体" w:eastAsia="宋体" w:cs="宋体"/>
          <w:b/>
          <w:bCs/>
        </w:rPr>
      </w:pPr>
      <w:r>
        <w:rPr>
          <w:rFonts w:hint="eastAsia" w:ascii="宋体" w:hAnsi="宋体" w:eastAsia="宋体" w:cs="宋体"/>
        </w:rPr>
        <w:fldChar w:fldCharType="begin"/>
      </w:r>
      <w:r>
        <w:rPr>
          <w:rFonts w:hint="eastAsia" w:ascii="宋体" w:hAnsi="宋体" w:eastAsia="宋体" w:cs="宋体"/>
        </w:rPr>
        <w:instrText xml:space="preserve"> HYPERLINK \l "_Toc32085" </w:instrText>
      </w:r>
      <w:r>
        <w:rPr>
          <w:rFonts w:hint="eastAsia" w:ascii="宋体" w:hAnsi="宋体" w:eastAsia="宋体" w:cs="宋体"/>
        </w:rPr>
        <w:fldChar w:fldCharType="separate"/>
      </w:r>
      <w:r>
        <w:rPr>
          <w:rFonts w:hint="eastAsia" w:ascii="宋体" w:hAnsi="宋体" w:eastAsia="宋体" w:cs="宋体"/>
          <w:b/>
          <w:bCs/>
          <w:kern w:val="44"/>
          <w:szCs w:val="36"/>
          <w:lang w:eastAsia="zh-CN" w:bidi="ar-SA"/>
        </w:rPr>
        <w:t>第二章  投标人须知前附表</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_Toc32085 </w:instrText>
      </w:r>
      <w:r>
        <w:rPr>
          <w:rFonts w:hint="eastAsia" w:ascii="宋体" w:hAnsi="宋体" w:eastAsia="宋体" w:cs="宋体"/>
          <w:b/>
          <w:bCs/>
        </w:rPr>
        <w:fldChar w:fldCharType="separate"/>
      </w:r>
      <w:r>
        <w:rPr>
          <w:rFonts w:hint="eastAsia" w:ascii="宋体" w:hAnsi="宋体" w:eastAsia="宋体" w:cs="宋体"/>
          <w:b/>
          <w:bCs/>
        </w:rPr>
        <w:t>4</w:t>
      </w:r>
      <w:r>
        <w:rPr>
          <w:rFonts w:hint="eastAsia" w:ascii="宋体" w:hAnsi="宋体" w:eastAsia="宋体" w:cs="宋体"/>
          <w:b/>
          <w:bCs/>
        </w:rPr>
        <w:fldChar w:fldCharType="end"/>
      </w:r>
      <w:r>
        <w:rPr>
          <w:rFonts w:hint="eastAsia" w:ascii="宋体" w:hAnsi="宋体" w:eastAsia="宋体" w:cs="宋体"/>
          <w:b/>
          <w:bCs/>
        </w:rPr>
        <w:fldChar w:fldCharType="end"/>
      </w:r>
    </w:p>
    <w:p>
      <w:pPr>
        <w:pStyle w:val="27"/>
        <w:tabs>
          <w:tab w:val="right" w:leader="dot" w:pos="8708"/>
        </w:tabs>
        <w:rPr>
          <w:rFonts w:hint="eastAsia" w:ascii="宋体" w:hAnsi="宋体" w:eastAsia="宋体" w:cs="宋体"/>
          <w:b/>
          <w:bCs/>
        </w:rPr>
      </w:pPr>
      <w:r>
        <w:rPr>
          <w:rFonts w:hint="eastAsia" w:ascii="宋体" w:hAnsi="宋体" w:eastAsia="宋体" w:cs="宋体"/>
        </w:rPr>
        <w:fldChar w:fldCharType="begin"/>
      </w:r>
      <w:r>
        <w:rPr>
          <w:rFonts w:hint="eastAsia" w:ascii="宋体" w:hAnsi="宋体" w:eastAsia="宋体" w:cs="宋体"/>
        </w:rPr>
        <w:instrText xml:space="preserve"> HYPERLINK \l "_Toc2064" </w:instrText>
      </w:r>
      <w:r>
        <w:rPr>
          <w:rFonts w:hint="eastAsia" w:ascii="宋体" w:hAnsi="宋体" w:eastAsia="宋体" w:cs="宋体"/>
        </w:rPr>
        <w:fldChar w:fldCharType="separate"/>
      </w:r>
      <w:r>
        <w:rPr>
          <w:rFonts w:hint="eastAsia" w:ascii="宋体" w:hAnsi="宋体" w:eastAsia="宋体" w:cs="宋体"/>
          <w:b/>
          <w:bCs/>
          <w:kern w:val="44"/>
          <w:lang w:eastAsia="zh-CN"/>
        </w:rPr>
        <w:t>第三章  投标人须知</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_Toc2064 </w:instrText>
      </w:r>
      <w:r>
        <w:rPr>
          <w:rFonts w:hint="eastAsia" w:ascii="宋体" w:hAnsi="宋体" w:eastAsia="宋体" w:cs="宋体"/>
          <w:b/>
          <w:bCs/>
        </w:rPr>
        <w:fldChar w:fldCharType="separate"/>
      </w:r>
      <w:r>
        <w:rPr>
          <w:rFonts w:hint="eastAsia" w:ascii="宋体" w:hAnsi="宋体" w:eastAsia="宋体" w:cs="宋体"/>
          <w:b/>
          <w:bCs/>
        </w:rPr>
        <w:t>7</w:t>
      </w:r>
      <w:r>
        <w:rPr>
          <w:rFonts w:hint="eastAsia" w:ascii="宋体" w:hAnsi="宋体" w:eastAsia="宋体" w:cs="宋体"/>
          <w:b/>
          <w:bCs/>
        </w:rPr>
        <w:fldChar w:fldCharType="end"/>
      </w:r>
      <w:r>
        <w:rPr>
          <w:rFonts w:hint="eastAsia" w:ascii="宋体" w:hAnsi="宋体" w:eastAsia="宋体" w:cs="宋体"/>
          <w:b/>
          <w:bCs/>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"_Toc23981" </w:instrText>
      </w:r>
      <w:r>
        <w:rPr>
          <w:rFonts w:hint="eastAsia" w:ascii="宋体" w:hAnsi="宋体" w:eastAsia="宋体" w:cs="宋体"/>
        </w:rPr>
        <w:fldChar w:fldCharType="separate"/>
      </w:r>
      <w:r>
        <w:rPr>
          <w:rFonts w:hint="eastAsia" w:ascii="宋体" w:hAnsi="宋体" w:eastAsia="宋体" w:cs="宋体"/>
          <w:bCs/>
          <w:w w:val="90"/>
          <w:lang w:eastAsia="zh-CN"/>
        </w:rPr>
        <w:t>一、说  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_Toc23981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"_Toc2458" </w:instrText>
      </w:r>
      <w:r>
        <w:rPr>
          <w:rFonts w:hint="eastAsia" w:ascii="宋体" w:hAnsi="宋体" w:eastAsia="宋体" w:cs="宋体"/>
        </w:rPr>
        <w:fldChar w:fldCharType="separate"/>
      </w:r>
      <w:r>
        <w:rPr>
          <w:rFonts w:hint="eastAsia" w:ascii="宋体" w:hAnsi="宋体" w:eastAsia="宋体" w:cs="宋体"/>
          <w:bCs/>
          <w:w w:val="90"/>
          <w:lang w:eastAsia="zh-CN"/>
        </w:rPr>
        <w:t>二、招标文件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_Toc2458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"_Toc5360" </w:instrText>
      </w:r>
      <w:r>
        <w:rPr>
          <w:rFonts w:hint="eastAsia" w:ascii="宋体" w:hAnsi="宋体" w:eastAsia="宋体" w:cs="宋体"/>
        </w:rPr>
        <w:fldChar w:fldCharType="separate"/>
      </w:r>
      <w:r>
        <w:rPr>
          <w:rFonts w:hint="eastAsia" w:ascii="宋体" w:hAnsi="宋体" w:eastAsia="宋体" w:cs="宋体"/>
          <w:bCs/>
          <w:w w:val="90"/>
          <w:lang w:eastAsia="zh-CN"/>
        </w:rPr>
        <w:t>三、投标文件的编制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_Toc5360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"_Toc17739" </w:instrText>
      </w:r>
      <w:r>
        <w:rPr>
          <w:rFonts w:hint="eastAsia" w:ascii="宋体" w:hAnsi="宋体" w:eastAsia="宋体" w:cs="宋体"/>
        </w:rPr>
        <w:fldChar w:fldCharType="separate"/>
      </w:r>
      <w:r>
        <w:rPr>
          <w:rFonts w:hint="eastAsia" w:ascii="宋体" w:hAnsi="宋体" w:eastAsia="宋体" w:cs="宋体"/>
          <w:bCs/>
          <w:w w:val="90"/>
          <w:lang w:eastAsia="zh-CN"/>
        </w:rPr>
        <w:t>四、投标文件的密封和递交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_Toc17739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"_Toc32280" </w:instrText>
      </w:r>
      <w:r>
        <w:rPr>
          <w:rFonts w:hint="eastAsia" w:ascii="宋体" w:hAnsi="宋体" w:eastAsia="宋体" w:cs="宋体"/>
        </w:rPr>
        <w:fldChar w:fldCharType="separate"/>
      </w:r>
      <w:r>
        <w:rPr>
          <w:rFonts w:hint="eastAsia" w:ascii="宋体" w:hAnsi="宋体" w:eastAsia="宋体" w:cs="宋体"/>
          <w:bCs/>
          <w:w w:val="90"/>
          <w:lang w:eastAsia="zh-CN"/>
        </w:rPr>
        <w:t>五、开标与评标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_Toc32280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"_Toc29512" </w:instrText>
      </w:r>
      <w:r>
        <w:rPr>
          <w:rFonts w:hint="eastAsia" w:ascii="宋体" w:hAnsi="宋体" w:eastAsia="宋体" w:cs="宋体"/>
        </w:rPr>
        <w:fldChar w:fldCharType="separate"/>
      </w:r>
      <w:r>
        <w:rPr>
          <w:rFonts w:hint="eastAsia" w:ascii="宋体" w:hAnsi="宋体" w:eastAsia="宋体" w:cs="宋体"/>
          <w:bCs/>
          <w:w w:val="90"/>
          <w:lang w:eastAsia="zh-CN"/>
        </w:rPr>
        <w:t>六、授予合同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_Toc29512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27"/>
        <w:tabs>
          <w:tab w:val="right" w:leader="dot" w:pos="8708"/>
        </w:tabs>
        <w:rPr>
          <w:rFonts w:hint="eastAsia" w:ascii="宋体" w:hAnsi="宋体" w:eastAsia="宋体" w:cs="宋体"/>
          <w:b/>
          <w:bCs/>
        </w:rPr>
      </w:pPr>
      <w:r>
        <w:rPr>
          <w:rFonts w:hint="eastAsia" w:ascii="宋体" w:hAnsi="宋体" w:eastAsia="宋体" w:cs="宋体"/>
        </w:rPr>
        <w:fldChar w:fldCharType="begin"/>
      </w:r>
      <w:r>
        <w:rPr>
          <w:rFonts w:hint="eastAsia" w:ascii="宋体" w:hAnsi="宋体" w:eastAsia="宋体" w:cs="宋体"/>
        </w:rPr>
        <w:instrText xml:space="preserve"> HYPERLINK \l "_Toc32096" </w:instrText>
      </w:r>
      <w:r>
        <w:rPr>
          <w:rFonts w:hint="eastAsia" w:ascii="宋体" w:hAnsi="宋体" w:eastAsia="宋体" w:cs="宋体"/>
        </w:rPr>
        <w:fldChar w:fldCharType="separate"/>
      </w:r>
      <w:r>
        <w:rPr>
          <w:rFonts w:hint="eastAsia" w:ascii="宋体" w:hAnsi="宋体" w:eastAsia="宋体" w:cs="宋体"/>
          <w:b/>
          <w:bCs/>
          <w:kern w:val="44"/>
          <w:szCs w:val="36"/>
          <w:lang w:eastAsia="zh-CN" w:bidi="ar-SA"/>
        </w:rPr>
        <w:t>第四章  合同专用条款</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_Toc32096 </w:instrText>
      </w:r>
      <w:r>
        <w:rPr>
          <w:rFonts w:hint="eastAsia" w:ascii="宋体" w:hAnsi="宋体" w:eastAsia="宋体" w:cs="宋体"/>
          <w:b/>
          <w:bCs/>
        </w:rPr>
        <w:fldChar w:fldCharType="separate"/>
      </w:r>
      <w:r>
        <w:rPr>
          <w:rFonts w:hint="eastAsia" w:ascii="宋体" w:hAnsi="宋体" w:eastAsia="宋体" w:cs="宋体"/>
          <w:b/>
          <w:bCs/>
        </w:rPr>
        <w:t>18</w:t>
      </w:r>
      <w:r>
        <w:rPr>
          <w:rFonts w:hint="eastAsia" w:ascii="宋体" w:hAnsi="宋体" w:eastAsia="宋体" w:cs="宋体"/>
          <w:b/>
          <w:bCs/>
        </w:rPr>
        <w:fldChar w:fldCharType="end"/>
      </w:r>
      <w:r>
        <w:rPr>
          <w:rFonts w:hint="eastAsia" w:ascii="宋体" w:hAnsi="宋体" w:eastAsia="宋体" w:cs="宋体"/>
          <w:b/>
          <w:bCs/>
        </w:rPr>
        <w:fldChar w:fldCharType="end"/>
      </w:r>
    </w:p>
    <w:p>
      <w:pPr>
        <w:pStyle w:val="27"/>
        <w:tabs>
          <w:tab w:val="right" w:leader="dot" w:pos="8708"/>
        </w:tabs>
        <w:rPr>
          <w:rFonts w:hint="eastAsia" w:ascii="宋体" w:hAnsi="宋体" w:eastAsia="宋体" w:cs="宋体"/>
          <w:b/>
          <w:bCs/>
        </w:rPr>
      </w:pPr>
      <w:r>
        <w:rPr>
          <w:rFonts w:hint="eastAsia" w:ascii="宋体" w:hAnsi="宋体" w:eastAsia="宋体" w:cs="宋体"/>
        </w:rPr>
        <w:fldChar w:fldCharType="begin"/>
      </w:r>
      <w:r>
        <w:rPr>
          <w:rFonts w:hint="eastAsia" w:ascii="宋体" w:hAnsi="宋体" w:eastAsia="宋体" w:cs="宋体"/>
        </w:rPr>
        <w:instrText xml:space="preserve"> HYPERLINK \l "_Toc2251" </w:instrText>
      </w:r>
      <w:r>
        <w:rPr>
          <w:rFonts w:hint="eastAsia" w:ascii="宋体" w:hAnsi="宋体" w:eastAsia="宋体" w:cs="宋体"/>
        </w:rPr>
        <w:fldChar w:fldCharType="separate"/>
      </w:r>
      <w:r>
        <w:rPr>
          <w:rFonts w:hint="eastAsia" w:ascii="宋体" w:hAnsi="宋体" w:eastAsia="宋体" w:cs="宋体"/>
          <w:b/>
          <w:bCs/>
          <w:kern w:val="44"/>
          <w:szCs w:val="36"/>
          <w:lang w:eastAsia="zh-CN" w:bidi="ar-SA"/>
        </w:rPr>
        <w:t xml:space="preserve">第五章 </w:t>
      </w:r>
      <w:r>
        <w:rPr>
          <w:rFonts w:hint="eastAsia" w:ascii="宋体" w:hAnsi="宋体" w:eastAsia="宋体" w:cs="宋体"/>
          <w:b/>
          <w:bCs/>
          <w:kern w:val="44"/>
          <w:szCs w:val="36"/>
          <w:lang w:val="en-US" w:eastAsia="zh-CN" w:bidi="ar-SA"/>
        </w:rPr>
        <w:t xml:space="preserve"> </w:t>
      </w:r>
      <w:r>
        <w:rPr>
          <w:rFonts w:hint="eastAsia" w:ascii="宋体" w:hAnsi="宋体" w:eastAsia="宋体" w:cs="宋体"/>
          <w:b/>
          <w:bCs/>
          <w:kern w:val="44"/>
          <w:szCs w:val="36"/>
          <w:lang w:eastAsia="zh-CN" w:bidi="ar-SA"/>
        </w:rPr>
        <w:t>合同通用条款</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_Toc2251 </w:instrText>
      </w:r>
      <w:r>
        <w:rPr>
          <w:rFonts w:hint="eastAsia" w:ascii="宋体" w:hAnsi="宋体" w:eastAsia="宋体" w:cs="宋体"/>
          <w:b/>
          <w:bCs/>
        </w:rPr>
        <w:fldChar w:fldCharType="separate"/>
      </w:r>
      <w:r>
        <w:rPr>
          <w:rFonts w:hint="eastAsia" w:ascii="宋体" w:hAnsi="宋体" w:eastAsia="宋体" w:cs="宋体"/>
          <w:b/>
          <w:bCs/>
        </w:rPr>
        <w:t>19</w:t>
      </w:r>
      <w:r>
        <w:rPr>
          <w:rFonts w:hint="eastAsia" w:ascii="宋体" w:hAnsi="宋体" w:eastAsia="宋体" w:cs="宋体"/>
          <w:b/>
          <w:bCs/>
        </w:rPr>
        <w:fldChar w:fldCharType="end"/>
      </w:r>
      <w:r>
        <w:rPr>
          <w:rFonts w:hint="eastAsia" w:ascii="宋体" w:hAnsi="宋体" w:eastAsia="宋体" w:cs="宋体"/>
          <w:b/>
          <w:bCs/>
        </w:rPr>
        <w:fldChar w:fldCharType="end"/>
      </w:r>
    </w:p>
    <w:p>
      <w:pPr>
        <w:pStyle w:val="27"/>
        <w:tabs>
          <w:tab w:val="right" w:leader="dot" w:pos="8708"/>
        </w:tabs>
        <w:rPr>
          <w:rFonts w:hint="eastAsia" w:ascii="宋体" w:hAnsi="宋体" w:eastAsia="宋体" w:cs="宋体"/>
          <w:b/>
          <w:bCs/>
        </w:rPr>
      </w:pPr>
      <w:r>
        <w:rPr>
          <w:rFonts w:hint="eastAsia" w:ascii="宋体" w:hAnsi="宋体" w:eastAsia="宋体" w:cs="宋体"/>
        </w:rPr>
        <w:fldChar w:fldCharType="begin"/>
      </w:r>
      <w:r>
        <w:rPr>
          <w:rFonts w:hint="eastAsia" w:ascii="宋体" w:hAnsi="宋体" w:eastAsia="宋体" w:cs="宋体"/>
        </w:rPr>
        <w:instrText xml:space="preserve"> HYPERLINK \l "_Toc30053" </w:instrText>
      </w:r>
      <w:r>
        <w:rPr>
          <w:rFonts w:hint="eastAsia" w:ascii="宋体" w:hAnsi="宋体" w:eastAsia="宋体" w:cs="宋体"/>
        </w:rPr>
        <w:fldChar w:fldCharType="separate"/>
      </w:r>
      <w:r>
        <w:rPr>
          <w:rFonts w:hint="eastAsia" w:ascii="宋体" w:hAnsi="宋体" w:eastAsia="宋体" w:cs="宋体"/>
          <w:b/>
          <w:bCs/>
          <w:kern w:val="44"/>
          <w:szCs w:val="36"/>
          <w:lang w:eastAsia="zh-CN" w:bidi="ar-SA"/>
        </w:rPr>
        <w:t>第六章  服务及技术要求</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_Toc30053 </w:instrText>
      </w:r>
      <w:r>
        <w:rPr>
          <w:rFonts w:hint="eastAsia" w:ascii="宋体" w:hAnsi="宋体" w:eastAsia="宋体" w:cs="宋体"/>
          <w:b/>
          <w:bCs/>
        </w:rPr>
        <w:fldChar w:fldCharType="separate"/>
      </w:r>
      <w:r>
        <w:rPr>
          <w:rFonts w:hint="eastAsia" w:ascii="宋体" w:hAnsi="宋体" w:eastAsia="宋体" w:cs="宋体"/>
          <w:b/>
          <w:bCs/>
        </w:rPr>
        <w:t>20</w:t>
      </w:r>
      <w:r>
        <w:rPr>
          <w:rFonts w:hint="eastAsia" w:ascii="宋体" w:hAnsi="宋体" w:eastAsia="宋体" w:cs="宋体"/>
          <w:b/>
          <w:bCs/>
        </w:rPr>
        <w:fldChar w:fldCharType="end"/>
      </w:r>
      <w:r>
        <w:rPr>
          <w:rFonts w:hint="eastAsia" w:ascii="宋体" w:hAnsi="宋体" w:eastAsia="宋体" w:cs="宋体"/>
          <w:b/>
          <w:bCs/>
        </w:rPr>
        <w:fldChar w:fldCharType="end"/>
      </w:r>
    </w:p>
    <w:p>
      <w:pPr>
        <w:pStyle w:val="27"/>
        <w:tabs>
          <w:tab w:val="right" w:leader="dot" w:pos="8708"/>
        </w:tabs>
        <w:rPr>
          <w:rFonts w:hint="eastAsia" w:ascii="宋体" w:hAnsi="宋体" w:eastAsia="宋体" w:cs="宋体"/>
          <w:b/>
          <w:bCs/>
        </w:rPr>
      </w:pPr>
      <w:r>
        <w:rPr>
          <w:rFonts w:hint="eastAsia" w:ascii="宋体" w:hAnsi="宋体" w:eastAsia="宋体" w:cs="宋体"/>
        </w:rPr>
        <w:fldChar w:fldCharType="begin"/>
      </w:r>
      <w:r>
        <w:rPr>
          <w:rFonts w:hint="eastAsia" w:ascii="宋体" w:hAnsi="宋体" w:eastAsia="宋体" w:cs="宋体"/>
        </w:rPr>
        <w:instrText xml:space="preserve"> HYPERLINK \l "_Toc7995" </w:instrText>
      </w:r>
      <w:r>
        <w:rPr>
          <w:rFonts w:hint="eastAsia" w:ascii="宋体" w:hAnsi="宋体" w:eastAsia="宋体" w:cs="宋体"/>
        </w:rPr>
        <w:fldChar w:fldCharType="separate"/>
      </w:r>
      <w:r>
        <w:rPr>
          <w:rFonts w:hint="eastAsia" w:ascii="宋体" w:hAnsi="宋体" w:eastAsia="宋体" w:cs="宋体"/>
          <w:b/>
          <w:bCs/>
          <w:kern w:val="44"/>
          <w:szCs w:val="36"/>
          <w:lang w:eastAsia="zh-CN" w:bidi="ar-SA"/>
        </w:rPr>
        <w:t xml:space="preserve">第七章 </w:t>
      </w:r>
      <w:r>
        <w:rPr>
          <w:rFonts w:hint="eastAsia" w:ascii="宋体" w:hAnsi="宋体" w:eastAsia="宋体" w:cs="宋体"/>
          <w:b/>
          <w:bCs/>
          <w:kern w:val="44"/>
          <w:szCs w:val="36"/>
          <w:lang w:val="en-US" w:eastAsia="zh-CN" w:bidi="ar-SA"/>
        </w:rPr>
        <w:t xml:space="preserve"> </w:t>
      </w:r>
      <w:r>
        <w:rPr>
          <w:rFonts w:hint="eastAsia" w:ascii="宋体" w:hAnsi="宋体" w:eastAsia="宋体" w:cs="宋体"/>
          <w:b/>
          <w:bCs/>
          <w:kern w:val="44"/>
          <w:szCs w:val="36"/>
          <w:lang w:eastAsia="zh-CN" w:bidi="ar-SA"/>
        </w:rPr>
        <w:t>附件（投标文件格式）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_Toc7995 </w:instrText>
      </w:r>
      <w:r>
        <w:rPr>
          <w:rFonts w:hint="eastAsia" w:ascii="宋体" w:hAnsi="宋体" w:eastAsia="宋体" w:cs="宋体"/>
          <w:b/>
          <w:bCs/>
        </w:rPr>
        <w:fldChar w:fldCharType="separate"/>
      </w:r>
      <w:r>
        <w:rPr>
          <w:rFonts w:hint="eastAsia" w:ascii="宋体" w:hAnsi="宋体" w:eastAsia="宋体" w:cs="宋体"/>
          <w:b/>
          <w:bCs/>
        </w:rPr>
        <w:t>26</w:t>
      </w:r>
      <w:r>
        <w:rPr>
          <w:rFonts w:hint="eastAsia" w:ascii="宋体" w:hAnsi="宋体" w:eastAsia="宋体" w:cs="宋体"/>
          <w:b/>
          <w:bCs/>
        </w:rPr>
        <w:fldChar w:fldCharType="end"/>
      </w:r>
      <w:r>
        <w:rPr>
          <w:rFonts w:hint="eastAsia" w:ascii="宋体" w:hAnsi="宋体" w:eastAsia="宋体" w:cs="宋体"/>
          <w:b/>
          <w:bCs/>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fldChar w:fldCharType="begin"/>
      </w:r>
      <w:r>
        <w:rPr>
          <w:rFonts w:hint="eastAsia" w:ascii="宋体" w:hAnsi="宋体" w:eastAsia="宋体" w:cs="宋体"/>
        </w:rPr>
        <w:instrText xml:space="preserve"> HYPERLINK \l "_Toc15932" </w:instrText>
      </w:r>
      <w:r>
        <w:rPr>
          <w:rFonts w:hint="eastAsia" w:ascii="宋体" w:hAnsi="宋体" w:eastAsia="宋体" w:cs="宋体"/>
        </w:rPr>
        <w:fldChar w:fldCharType="separate"/>
      </w:r>
      <w:r>
        <w:rPr>
          <w:rFonts w:hint="eastAsia" w:ascii="宋体" w:hAnsi="宋体" w:eastAsia="宋体" w:cs="宋体"/>
          <w:bCs/>
          <w:lang w:eastAsia="zh-CN"/>
        </w:rPr>
        <w:t>投标函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_Toc15932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"_Toc2397" </w:instrText>
      </w:r>
      <w:r>
        <w:rPr>
          <w:rFonts w:hint="eastAsia" w:ascii="宋体" w:hAnsi="宋体" w:eastAsia="宋体" w:cs="宋体"/>
        </w:rPr>
        <w:fldChar w:fldCharType="separate"/>
      </w:r>
      <w:r>
        <w:rPr>
          <w:rFonts w:hint="eastAsia" w:ascii="宋体" w:hAnsi="宋体" w:eastAsia="宋体" w:cs="宋体"/>
          <w:bCs/>
          <w:w w:val="90"/>
          <w:lang w:eastAsia="zh-CN"/>
        </w:rPr>
        <w:t>2</w:t>
      </w:r>
      <w:r>
        <w:rPr>
          <w:rFonts w:hint="eastAsia" w:ascii="宋体" w:hAnsi="宋体" w:eastAsia="宋体" w:cs="宋体"/>
          <w:bCs/>
          <w:w w:val="90"/>
          <w:lang w:val="en-US" w:eastAsia="zh-CN"/>
        </w:rPr>
        <w:t>.</w:t>
      </w:r>
      <w:r>
        <w:rPr>
          <w:rFonts w:hint="eastAsia" w:ascii="宋体" w:hAnsi="宋体" w:eastAsia="宋体" w:cs="宋体"/>
          <w:bCs/>
          <w:w w:val="90"/>
          <w:lang w:eastAsia="zh-CN"/>
        </w:rPr>
        <w:t>投标一览表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_Toc2397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"_Toc30332" </w:instrText>
      </w:r>
      <w:r>
        <w:rPr>
          <w:rFonts w:hint="eastAsia" w:ascii="宋体" w:hAnsi="宋体" w:eastAsia="宋体" w:cs="宋体"/>
        </w:rPr>
        <w:fldChar w:fldCharType="separate"/>
      </w:r>
      <w:r>
        <w:rPr>
          <w:rFonts w:hint="eastAsia" w:ascii="宋体" w:hAnsi="宋体" w:eastAsia="宋体" w:cs="宋体"/>
          <w:bCs/>
          <w:w w:val="90"/>
          <w:lang w:eastAsia="zh-CN"/>
        </w:rPr>
        <w:t>3</w:t>
      </w:r>
      <w:r>
        <w:rPr>
          <w:rFonts w:hint="eastAsia" w:ascii="宋体" w:hAnsi="宋体" w:eastAsia="宋体" w:cs="宋体"/>
          <w:bCs/>
          <w:w w:val="90"/>
          <w:lang w:val="en-US" w:eastAsia="zh-CN"/>
        </w:rPr>
        <w:t>.</w:t>
      </w:r>
      <w:r>
        <w:rPr>
          <w:rFonts w:hint="eastAsia" w:ascii="宋体" w:hAnsi="宋体" w:eastAsia="宋体" w:cs="宋体"/>
          <w:bCs/>
          <w:w w:val="90"/>
          <w:lang w:eastAsia="zh-CN"/>
        </w:rPr>
        <w:t>法定代表人授权书格式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_Toc30332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"_Toc11980" </w:instrText>
      </w:r>
      <w:r>
        <w:rPr>
          <w:rFonts w:hint="eastAsia" w:ascii="宋体" w:hAnsi="宋体" w:eastAsia="宋体" w:cs="宋体"/>
        </w:rPr>
        <w:fldChar w:fldCharType="separate"/>
      </w:r>
      <w:r>
        <w:rPr>
          <w:rFonts w:hint="eastAsia" w:ascii="宋体" w:hAnsi="宋体" w:eastAsia="宋体" w:cs="宋体"/>
          <w:bCs/>
          <w:w w:val="90"/>
          <w:lang w:eastAsia="zh-CN"/>
        </w:rPr>
        <w:t>4</w:t>
      </w:r>
      <w:r>
        <w:rPr>
          <w:rFonts w:hint="eastAsia" w:ascii="宋体" w:hAnsi="宋体" w:eastAsia="宋体" w:cs="宋体"/>
          <w:bCs/>
          <w:w w:val="90"/>
          <w:lang w:val="en-US" w:eastAsia="zh-CN"/>
        </w:rPr>
        <w:t>.</w:t>
      </w:r>
      <w:r>
        <w:rPr>
          <w:rFonts w:hint="eastAsia" w:ascii="宋体" w:hAnsi="宋体" w:eastAsia="宋体" w:cs="宋体"/>
          <w:bCs/>
          <w:w w:val="90"/>
          <w:lang w:eastAsia="zh-CN"/>
        </w:rPr>
        <w:t>资格证明文件格式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_Toc11980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"_Toc1349" </w:instrText>
      </w:r>
      <w:r>
        <w:rPr>
          <w:rFonts w:hint="eastAsia" w:ascii="宋体" w:hAnsi="宋体" w:eastAsia="宋体" w:cs="宋体"/>
        </w:rPr>
        <w:fldChar w:fldCharType="separate"/>
      </w:r>
      <w:r>
        <w:rPr>
          <w:rFonts w:hint="eastAsia" w:ascii="宋体" w:hAnsi="宋体" w:eastAsia="宋体" w:cs="宋体"/>
          <w:bCs/>
          <w:w w:val="90"/>
          <w:lang w:eastAsia="zh-CN"/>
        </w:rPr>
        <w:t>5</w:t>
      </w:r>
      <w:r>
        <w:rPr>
          <w:rFonts w:hint="eastAsia" w:ascii="宋体" w:hAnsi="宋体" w:eastAsia="宋体" w:cs="宋体"/>
          <w:bCs/>
          <w:w w:val="90"/>
          <w:lang w:val="en-US" w:eastAsia="zh-CN"/>
        </w:rPr>
        <w:t>.</w:t>
      </w:r>
      <w:r>
        <w:rPr>
          <w:rFonts w:hint="eastAsia" w:ascii="宋体" w:hAnsi="宋体" w:eastAsia="宋体" w:cs="宋体"/>
          <w:bCs/>
          <w:w w:val="90"/>
          <w:lang w:eastAsia="zh-CN"/>
        </w:rPr>
        <w:t>投标人基本情况信息表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_Toc1349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sectPr>
          <w:footerReference r:id="rId7" w:type="default"/>
          <w:pgSz w:w="11906" w:h="16838"/>
          <w:pgMar w:top="1089" w:right="1599" w:bottom="1089" w:left="1599" w:header="851" w:footer="850" w:gutter="0"/>
          <w:pgNumType w:fmt="decimal" w:start="1"/>
          <w:cols w:space="0" w:num="1"/>
          <w:docGrid w:linePitch="312" w:charSpace="0"/>
        </w:sectPr>
      </w:pPr>
    </w:p>
    <w:p>
      <w:pPr>
        <w:pStyle w:val="33"/>
        <w:tabs>
          <w:tab w:val="right" w:leader="dot" w:pos="8708"/>
        </w:tabs>
        <w:ind w:left="440"/>
        <w:rPr>
          <w:rFonts w:hint="eastAsia" w:ascii="宋体" w:hAnsi="宋体" w:eastAsia="宋体" w:cs="宋体"/>
          <w:lang w:val="en-US" w:eastAsia="zh-CN"/>
        </w:rPr>
      </w:pPr>
      <w:r>
        <w:rPr>
          <w:rFonts w:hint="eastAsia" w:ascii="宋体" w:hAnsi="宋体" w:eastAsia="宋体" w:cs="宋体"/>
          <w:lang w:val="en-US" w:eastAsia="zh-CN"/>
        </w:rPr>
        <w:t>6.业绩证明文件...........................................................35</w:t>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"_Toc18509" </w:instrText>
      </w:r>
      <w:r>
        <w:rPr>
          <w:rFonts w:hint="eastAsia" w:ascii="宋体" w:hAnsi="宋体" w:eastAsia="宋体" w:cs="宋体"/>
        </w:rPr>
        <w:fldChar w:fldCharType="separate"/>
      </w:r>
      <w:r>
        <w:rPr>
          <w:rFonts w:hint="eastAsia" w:ascii="宋体" w:hAnsi="宋体" w:eastAsia="宋体" w:cs="宋体"/>
          <w:bCs/>
          <w:w w:val="90"/>
          <w:lang w:eastAsia="zh-CN"/>
        </w:rPr>
        <w:t>7</w:t>
      </w:r>
      <w:r>
        <w:rPr>
          <w:rFonts w:hint="eastAsia" w:ascii="宋体" w:hAnsi="宋体" w:eastAsia="宋体" w:cs="宋体"/>
          <w:bCs/>
          <w:w w:val="90"/>
          <w:lang w:val="en-US" w:eastAsia="zh-CN"/>
        </w:rPr>
        <w:t>.</w:t>
      </w:r>
      <w:r>
        <w:rPr>
          <w:rFonts w:hint="eastAsia" w:ascii="宋体" w:hAnsi="宋体" w:eastAsia="宋体" w:cs="宋体"/>
          <w:bCs/>
          <w:w w:val="90"/>
          <w:lang w:eastAsia="zh-CN"/>
        </w:rPr>
        <w:t>售后服务承诺书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_Toc18509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fldChar w:fldCharType="end"/>
      </w:r>
    </w:p>
    <w:p>
      <w:pPr>
        <w:pStyle w:val="27"/>
        <w:tabs>
          <w:tab w:val="right" w:leader="dot" w:pos="8708"/>
        </w:tabs>
        <w:rPr>
          <w:rFonts w:hint="eastAsia" w:ascii="宋体" w:hAnsi="宋体" w:eastAsia="宋体" w:cs="宋体"/>
          <w:b/>
          <w:bCs/>
        </w:rPr>
      </w:pPr>
      <w:r>
        <w:rPr>
          <w:rFonts w:hint="eastAsia" w:ascii="宋体" w:hAnsi="宋体" w:eastAsia="宋体" w:cs="宋体"/>
        </w:rPr>
        <w:fldChar w:fldCharType="begin"/>
      </w:r>
      <w:r>
        <w:rPr>
          <w:rFonts w:hint="eastAsia" w:ascii="宋体" w:hAnsi="宋体" w:eastAsia="宋体" w:cs="宋体"/>
        </w:rPr>
        <w:instrText xml:space="preserve"> HYPERLINK \l "_Toc7626" </w:instrText>
      </w:r>
      <w:r>
        <w:rPr>
          <w:rFonts w:hint="eastAsia" w:ascii="宋体" w:hAnsi="宋体" w:eastAsia="宋体" w:cs="宋体"/>
        </w:rPr>
        <w:fldChar w:fldCharType="separate"/>
      </w:r>
      <w:r>
        <w:rPr>
          <w:rFonts w:hint="eastAsia" w:ascii="宋体" w:hAnsi="宋体" w:eastAsia="宋体" w:cs="宋体"/>
          <w:b/>
          <w:bCs/>
          <w:kern w:val="44"/>
          <w:szCs w:val="36"/>
          <w:lang w:eastAsia="zh-CN" w:bidi="ar-SA"/>
        </w:rPr>
        <w:t>第八章 评标标准与方法</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_Toc7626 </w:instrText>
      </w:r>
      <w:r>
        <w:rPr>
          <w:rFonts w:hint="eastAsia" w:ascii="宋体" w:hAnsi="宋体" w:eastAsia="宋体" w:cs="宋体"/>
          <w:b/>
          <w:bCs/>
        </w:rPr>
        <w:fldChar w:fldCharType="separate"/>
      </w:r>
      <w:r>
        <w:rPr>
          <w:rFonts w:hint="eastAsia" w:ascii="宋体" w:hAnsi="宋体" w:eastAsia="宋体" w:cs="宋体"/>
          <w:b/>
          <w:bCs/>
        </w:rPr>
        <w:t>36</w:t>
      </w:r>
      <w:r>
        <w:rPr>
          <w:rFonts w:hint="eastAsia" w:ascii="宋体" w:hAnsi="宋体" w:eastAsia="宋体" w:cs="宋体"/>
          <w:b/>
          <w:bCs/>
        </w:rPr>
        <w:fldChar w:fldCharType="end"/>
      </w:r>
      <w:r>
        <w:rPr>
          <w:rFonts w:hint="eastAsia" w:ascii="宋体" w:hAnsi="宋体" w:eastAsia="宋体" w:cs="宋体"/>
          <w:b/>
          <w:bCs/>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"_Toc11206" </w:instrText>
      </w:r>
      <w:r>
        <w:rPr>
          <w:rFonts w:hint="eastAsia" w:ascii="宋体" w:hAnsi="宋体" w:eastAsia="宋体" w:cs="宋体"/>
        </w:rPr>
        <w:fldChar w:fldCharType="separate"/>
      </w:r>
      <w:r>
        <w:rPr>
          <w:rFonts w:hint="eastAsia" w:ascii="宋体" w:hAnsi="宋体" w:eastAsia="宋体" w:cs="宋体"/>
          <w:lang w:eastAsia="zh-CN"/>
        </w:rPr>
        <w:t>一、评标方法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_Toc11206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"_Toc22508" </w:instrText>
      </w:r>
      <w:r>
        <w:rPr>
          <w:rFonts w:hint="eastAsia" w:ascii="宋体" w:hAnsi="宋体" w:eastAsia="宋体" w:cs="宋体"/>
        </w:rPr>
        <w:fldChar w:fldCharType="separate"/>
      </w:r>
      <w:r>
        <w:rPr>
          <w:rFonts w:hint="eastAsia" w:ascii="宋体" w:hAnsi="宋体" w:eastAsia="宋体" w:cs="宋体"/>
          <w:lang w:eastAsia="zh-CN"/>
        </w:rPr>
        <w:t>二、评标程序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_Toc22508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"_Toc3290" </w:instrText>
      </w:r>
      <w:r>
        <w:rPr>
          <w:rFonts w:hint="eastAsia" w:ascii="宋体" w:hAnsi="宋体" w:eastAsia="宋体" w:cs="宋体"/>
        </w:rPr>
        <w:fldChar w:fldCharType="separate"/>
      </w:r>
      <w:r>
        <w:rPr>
          <w:rFonts w:hint="eastAsia" w:ascii="宋体" w:hAnsi="宋体" w:eastAsia="宋体" w:cs="宋体"/>
          <w:lang w:eastAsia="zh-CN"/>
        </w:rPr>
        <w:t>三、评分标准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_Toc3290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rPr>
        <w:fldChar w:fldCharType="end"/>
      </w:r>
    </w:p>
    <w:p>
      <w:pPr>
        <w:spacing w:line="360" w:lineRule="auto"/>
        <w:jc w:val="center"/>
        <w:rPr>
          <w:rFonts w:cs="宋体" w:asciiTheme="minorEastAsia" w:hAnsiTheme="minorEastAsia" w:eastAsiaTheme="minorEastAsia"/>
        </w:rPr>
      </w:pPr>
      <w:r>
        <w:rPr>
          <w:rFonts w:hint="eastAsia" w:ascii="宋体" w:hAnsi="宋体" w:eastAsia="宋体" w:cs="宋体"/>
        </w:rPr>
        <w:fldChar w:fldCharType="end"/>
      </w:r>
    </w:p>
    <w:p>
      <w:pPr>
        <w:jc w:val="center"/>
        <w:rPr>
          <w:rFonts w:asciiTheme="minorEastAsia" w:hAnsiTheme="minorEastAsia" w:eastAsiaTheme="minorEastAsia"/>
        </w:rPr>
        <w:sectPr>
          <w:footerReference r:id="rId8" w:type="default"/>
          <w:pgSz w:w="11906" w:h="16838"/>
          <w:pgMar w:top="1089" w:right="1599" w:bottom="1089" w:left="1599" w:header="851" w:footer="850" w:gutter="0"/>
          <w:pgNumType w:fmt="decimal"/>
          <w:cols w:space="0" w:num="1"/>
          <w:docGrid w:linePitch="312" w:charSpace="0"/>
        </w:sectPr>
      </w:pPr>
    </w:p>
    <w:p>
      <w:pPr>
        <w:jc w:val="cente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keepNext/>
        <w:keepLines/>
        <w:tabs>
          <w:tab w:val="left" w:pos="2160"/>
        </w:tabs>
        <w:snapToGrid w:val="0"/>
        <w:spacing w:before="340" w:after="330" w:line="360" w:lineRule="auto"/>
        <w:jc w:val="center"/>
        <w:outlineLvl w:val="0"/>
        <w:rPr>
          <w:rFonts w:asciiTheme="minorEastAsia" w:hAnsiTheme="minorEastAsia" w:eastAsiaTheme="minorEastAsia"/>
          <w:b/>
          <w:bCs/>
          <w:kern w:val="44"/>
          <w:lang w:eastAsia="zh-CN"/>
        </w:rPr>
      </w:pPr>
      <w:bookmarkStart w:id="13" w:name="_Toc465350681"/>
      <w:bookmarkStart w:id="14" w:name="_Toc17072"/>
      <w:bookmarkStart w:id="15" w:name="_Toc411245395"/>
      <w:r>
        <w:rPr>
          <w:rFonts w:hint="eastAsia" w:ascii="宋体" w:hAnsi="宋体"/>
          <w:b/>
          <w:bCs/>
          <w:kern w:val="44"/>
          <w:sz w:val="44"/>
          <w:szCs w:val="36"/>
          <w:lang w:eastAsia="zh-CN" w:bidi="ar-SA"/>
        </w:rPr>
        <w:t>第一章</w:t>
      </w:r>
      <w:bookmarkEnd w:id="0"/>
      <w:bookmarkEnd w:id="1"/>
      <w:bookmarkEnd w:id="2"/>
      <w:bookmarkEnd w:id="3"/>
      <w:bookmarkEnd w:id="4"/>
      <w:bookmarkEnd w:id="5"/>
      <w:bookmarkEnd w:id="6"/>
      <w:bookmarkEnd w:id="7"/>
      <w:bookmarkEnd w:id="8"/>
      <w:bookmarkEnd w:id="9"/>
      <w:bookmarkEnd w:id="10"/>
      <w:bookmarkEnd w:id="11"/>
      <w:r>
        <w:rPr>
          <w:rFonts w:hint="eastAsia" w:ascii="宋体" w:hAnsi="宋体"/>
          <w:b/>
          <w:bCs/>
          <w:kern w:val="44"/>
          <w:sz w:val="44"/>
          <w:szCs w:val="36"/>
          <w:lang w:eastAsia="zh-CN" w:bidi="ar-SA"/>
        </w:rPr>
        <w:t xml:space="preserve">  投标邀请书</w:t>
      </w:r>
      <w:bookmarkEnd w:id="12"/>
      <w:bookmarkEnd w:id="13"/>
      <w:bookmarkEnd w:id="14"/>
      <w:bookmarkEnd w:id="15"/>
    </w:p>
    <w:p>
      <w:pPr>
        <w:snapToGrid w:val="0"/>
        <w:rPr>
          <w:rFonts w:asciiTheme="minorEastAsia" w:hAnsiTheme="minorEastAsia" w:eastAsiaTheme="minorEastAsia"/>
          <w:b/>
          <w:bCs/>
          <w:lang w:eastAsia="zh-CN"/>
        </w:rPr>
        <w:sectPr>
          <w:footerReference r:id="rId9" w:type="default"/>
          <w:pgSz w:w="11906" w:h="16838"/>
          <w:pgMar w:top="1089" w:right="1599" w:bottom="1089" w:left="1599" w:header="851" w:footer="850" w:gutter="0"/>
          <w:pgNumType w:fmt="decimal" w:start="1"/>
          <w:cols w:space="0" w:num="1"/>
          <w:docGrid w:linePitch="312" w:charSpace="0"/>
        </w:sectPr>
      </w:pPr>
    </w:p>
    <w:p>
      <w:pPr>
        <w:snapToGrid w:val="0"/>
        <w:jc w:val="center"/>
        <w:rPr>
          <w:rFonts w:asciiTheme="minorEastAsia" w:hAnsiTheme="minorEastAsia" w:eastAsiaTheme="minorEastAsia"/>
          <w:b/>
          <w:lang w:eastAsia="zh-CN"/>
        </w:rPr>
      </w:pPr>
      <w:r>
        <w:rPr>
          <w:rFonts w:hint="eastAsia" w:asciiTheme="minorEastAsia" w:hAnsiTheme="minorEastAsia" w:eastAsiaTheme="minorEastAsia"/>
          <w:b/>
          <w:bCs/>
          <w:lang w:eastAsia="zh-CN"/>
        </w:rPr>
        <w:t>投标邀请书</w:t>
      </w:r>
      <w:r>
        <w:rPr>
          <w:rFonts w:hint="eastAsia" w:asciiTheme="minorEastAsia" w:hAnsiTheme="minorEastAsia" w:eastAsiaTheme="minorEastAsia"/>
          <w:b/>
          <w:lang w:eastAsia="zh-CN"/>
        </w:rPr>
        <w:tab/>
      </w:r>
    </w:p>
    <w:p>
      <w:pPr>
        <w:pStyle w:val="490"/>
        <w:snapToGrid w:val="0"/>
        <w:spacing w:before="0" w:line="360" w:lineRule="auto"/>
        <w:outlineLvl w:val="0"/>
        <w:rPr>
          <w:rFonts w:asciiTheme="minorEastAsia" w:hAnsiTheme="minorEastAsia" w:eastAsiaTheme="minorEastAsia"/>
          <w:color w:val="auto"/>
          <w:sz w:val="22"/>
          <w:szCs w:val="22"/>
          <w:lang w:eastAsia="zh-CN"/>
        </w:rPr>
      </w:pPr>
      <w:bookmarkStart w:id="16" w:name="_Toc152042288"/>
      <w:bookmarkStart w:id="17" w:name="_Toc27239"/>
      <w:bookmarkStart w:id="18" w:name="_Toc152045512"/>
      <w:bookmarkStart w:id="19" w:name="_Toc490297598"/>
      <w:bookmarkStart w:id="20" w:name="_Toc144974480"/>
      <w:r>
        <w:rPr>
          <w:rFonts w:asciiTheme="minorEastAsia" w:hAnsiTheme="minorEastAsia" w:eastAsiaTheme="minorEastAsia"/>
          <w:color w:val="auto"/>
          <w:sz w:val="22"/>
          <w:szCs w:val="22"/>
          <w:lang w:eastAsia="zh-CN"/>
        </w:rPr>
        <w:t>1.招标条件</w:t>
      </w:r>
      <w:bookmarkEnd w:id="16"/>
      <w:bookmarkEnd w:id="17"/>
      <w:bookmarkEnd w:id="18"/>
      <w:bookmarkEnd w:id="19"/>
      <w:bookmarkEnd w:id="20"/>
    </w:p>
    <w:p>
      <w:pPr>
        <w:spacing w:line="360" w:lineRule="auto"/>
        <w:ind w:firstLine="440" w:firstLineChars="200"/>
        <w:rPr>
          <w:rFonts w:cs="宋体" w:asciiTheme="minorEastAsia" w:hAnsiTheme="minorEastAsia" w:eastAsiaTheme="minorEastAsia"/>
          <w:lang w:eastAsia="zh-CN"/>
        </w:rPr>
      </w:pPr>
      <w:r>
        <w:rPr>
          <w:rFonts w:asciiTheme="minorEastAsia" w:hAnsiTheme="minorEastAsia" w:eastAsiaTheme="minorEastAsia"/>
          <w:lang w:eastAsia="zh-CN"/>
        </w:rPr>
        <w:t>本招标项目</w:t>
      </w:r>
      <w:r>
        <w:rPr>
          <w:rFonts w:hint="eastAsia" w:asciiTheme="minorEastAsia" w:hAnsiTheme="minorEastAsia" w:eastAsiaTheme="minorEastAsia"/>
          <w:lang w:eastAsia="zh-CN"/>
        </w:rPr>
        <w:t>为2022年中国（厦门）跨境电商展</w:t>
      </w:r>
      <w:r>
        <w:rPr>
          <w:rFonts w:hint="eastAsia" w:asciiTheme="minorEastAsia" w:hAnsiTheme="minorEastAsia" w:eastAsiaTheme="minorEastAsia"/>
          <w:lang w:val="en-US" w:eastAsia="zh-CN"/>
        </w:rPr>
        <w:t>综合运营</w:t>
      </w:r>
      <w:r>
        <w:rPr>
          <w:rFonts w:hint="eastAsia" w:asciiTheme="minorEastAsia" w:hAnsiTheme="minorEastAsia" w:eastAsiaTheme="minorEastAsia"/>
          <w:lang w:eastAsia="zh-CN"/>
        </w:rPr>
        <w:t>服务</w:t>
      </w:r>
      <w:r>
        <w:rPr>
          <w:rFonts w:asciiTheme="minorEastAsia" w:hAnsiTheme="minorEastAsia" w:eastAsiaTheme="minorEastAsia"/>
          <w:lang w:eastAsia="zh-CN"/>
        </w:rPr>
        <w:t>，项目业主为</w:t>
      </w:r>
      <w:r>
        <w:rPr>
          <w:rFonts w:hint="eastAsia" w:asciiTheme="minorEastAsia" w:hAnsiTheme="minorEastAsia" w:eastAsiaTheme="minorEastAsia"/>
          <w:u w:val="single"/>
          <w:lang w:val="en-US" w:eastAsia="zh-CN"/>
        </w:rPr>
        <w:t>厦门国际商会</w:t>
      </w:r>
      <w:r>
        <w:rPr>
          <w:rFonts w:asciiTheme="minorEastAsia" w:hAnsiTheme="minorEastAsia" w:eastAsiaTheme="minorEastAsia"/>
          <w:lang w:eastAsia="zh-CN"/>
        </w:rPr>
        <w:t>，已具备招标条件，现对该项目的</w:t>
      </w:r>
      <w:r>
        <w:rPr>
          <w:rFonts w:hint="eastAsia" w:asciiTheme="minorEastAsia" w:hAnsiTheme="minorEastAsia" w:eastAsiaTheme="minorEastAsia"/>
          <w:lang w:eastAsia="zh-CN"/>
        </w:rPr>
        <w:t>以下内容</w:t>
      </w:r>
      <w:r>
        <w:rPr>
          <w:rFonts w:asciiTheme="minorEastAsia" w:hAnsiTheme="minorEastAsia" w:eastAsiaTheme="minorEastAsia"/>
          <w:lang w:eastAsia="zh-CN"/>
        </w:rPr>
        <w:t>进行</w:t>
      </w:r>
      <w:r>
        <w:rPr>
          <w:rFonts w:hint="eastAsia" w:asciiTheme="minorEastAsia" w:hAnsiTheme="minorEastAsia" w:eastAsiaTheme="minorEastAsia"/>
          <w:lang w:eastAsia="zh-CN"/>
        </w:rPr>
        <w:t>国内</w:t>
      </w:r>
      <w:r>
        <w:rPr>
          <w:rFonts w:asciiTheme="minorEastAsia" w:hAnsiTheme="minorEastAsia" w:eastAsiaTheme="minorEastAsia"/>
          <w:lang w:eastAsia="zh-CN"/>
        </w:rPr>
        <w:t>公开招标。</w:t>
      </w:r>
    </w:p>
    <w:p>
      <w:pPr>
        <w:pStyle w:val="490"/>
        <w:numPr>
          <w:ilvl w:val="0"/>
          <w:numId w:val="29"/>
        </w:numPr>
        <w:snapToGrid w:val="0"/>
        <w:spacing w:before="0" w:line="360" w:lineRule="auto"/>
        <w:outlineLvl w:val="0"/>
        <w:rPr>
          <w:rFonts w:asciiTheme="minorEastAsia" w:hAnsiTheme="minorEastAsia" w:eastAsiaTheme="minorEastAsia" w:cstheme="minorEastAsia"/>
          <w:color w:val="auto"/>
          <w:sz w:val="22"/>
          <w:szCs w:val="22"/>
          <w:lang w:eastAsia="zh-CN"/>
        </w:rPr>
      </w:pPr>
      <w:bookmarkStart w:id="21" w:name="_Toc4892"/>
      <w:bookmarkStart w:id="22" w:name="_Toc490297599"/>
      <w:bookmarkStart w:id="23" w:name="_Toc152045513"/>
      <w:bookmarkStart w:id="24" w:name="_Toc152042289"/>
      <w:bookmarkStart w:id="25" w:name="_Toc144974481"/>
      <w:r>
        <w:rPr>
          <w:rFonts w:hint="eastAsia" w:asciiTheme="minorEastAsia" w:hAnsiTheme="minorEastAsia" w:eastAsiaTheme="minorEastAsia" w:cstheme="minorEastAsia"/>
          <w:color w:val="auto"/>
          <w:sz w:val="22"/>
          <w:szCs w:val="22"/>
          <w:lang w:eastAsia="zh-CN"/>
        </w:rPr>
        <w:t>投资来源及预算：自筹资金。</w:t>
      </w:r>
      <w:bookmarkEnd w:id="21"/>
    </w:p>
    <w:p>
      <w:pPr>
        <w:pStyle w:val="490"/>
        <w:snapToGrid w:val="0"/>
        <w:spacing w:before="0" w:line="360" w:lineRule="auto"/>
        <w:outlineLvl w:val="0"/>
        <w:rPr>
          <w:rFonts w:asciiTheme="minorEastAsia" w:hAnsiTheme="minorEastAsia" w:eastAsiaTheme="minorEastAsia" w:cstheme="minorEastAsia"/>
          <w:color w:val="auto"/>
          <w:sz w:val="22"/>
          <w:szCs w:val="22"/>
          <w:lang w:eastAsia="zh-CN"/>
        </w:rPr>
      </w:pPr>
      <w:bookmarkStart w:id="26" w:name="_Toc14561"/>
      <w:r>
        <w:rPr>
          <w:rFonts w:hint="eastAsia" w:asciiTheme="minorEastAsia" w:hAnsiTheme="minorEastAsia" w:eastAsiaTheme="minorEastAsia" w:cstheme="minorEastAsia"/>
          <w:color w:val="auto"/>
          <w:sz w:val="22"/>
          <w:szCs w:val="22"/>
          <w:lang w:eastAsia="zh-CN"/>
        </w:rPr>
        <w:t>3. 招标范围</w:t>
      </w:r>
      <w:bookmarkEnd w:id="22"/>
      <w:bookmarkEnd w:id="23"/>
      <w:bookmarkEnd w:id="24"/>
      <w:bookmarkEnd w:id="25"/>
      <w:bookmarkEnd w:id="26"/>
      <w:bookmarkStart w:id="27" w:name="_Toc144974482"/>
      <w:bookmarkStart w:id="28" w:name="_Toc152042290"/>
      <w:bookmarkStart w:id="29" w:name="_Toc152045514"/>
    </w:p>
    <w:p>
      <w:pPr>
        <w:snapToGrid w:val="0"/>
        <w:spacing w:line="360" w:lineRule="auto"/>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3.1、项目名称：</w:t>
      </w:r>
      <w:r>
        <w:rPr>
          <w:rFonts w:hint="eastAsia" w:asciiTheme="minorEastAsia" w:hAnsiTheme="minorEastAsia" w:eastAsiaTheme="minorEastAsia"/>
          <w:lang w:eastAsia="zh-CN"/>
        </w:rPr>
        <w:t>2022年中国（厦门）跨境电商展</w:t>
      </w:r>
      <w:r>
        <w:rPr>
          <w:rFonts w:hint="eastAsia" w:asciiTheme="minorEastAsia" w:hAnsiTheme="minorEastAsia" w:eastAsiaTheme="minorEastAsia"/>
          <w:lang w:val="en-US" w:eastAsia="zh-CN"/>
        </w:rPr>
        <w:t>综合运营</w:t>
      </w:r>
      <w:r>
        <w:rPr>
          <w:rFonts w:hint="eastAsia" w:asciiTheme="minorEastAsia" w:hAnsiTheme="minorEastAsia" w:eastAsiaTheme="minorEastAsia"/>
          <w:lang w:eastAsia="zh-CN"/>
        </w:rPr>
        <w:t>服务</w:t>
      </w:r>
    </w:p>
    <w:p>
      <w:pPr>
        <w:snapToGrid w:val="0"/>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3.2、招标内容主要包括：2022年中国（厦门）跨境电商展</w:t>
      </w:r>
      <w:r>
        <w:rPr>
          <w:rFonts w:hint="eastAsia" w:asciiTheme="minorEastAsia" w:hAnsiTheme="minorEastAsia" w:eastAsiaTheme="minorEastAsia"/>
          <w:lang w:val="en-US" w:eastAsia="zh-CN"/>
        </w:rPr>
        <w:t>综合运营</w:t>
      </w:r>
      <w:r>
        <w:rPr>
          <w:rFonts w:hint="eastAsia" w:asciiTheme="minorEastAsia" w:hAnsiTheme="minorEastAsia" w:eastAsiaTheme="minorEastAsia"/>
          <w:lang w:eastAsia="zh-CN"/>
        </w:rPr>
        <w:t>服务（以下简称“</w:t>
      </w:r>
      <w:r>
        <w:rPr>
          <w:rFonts w:hint="eastAsia" w:asciiTheme="minorEastAsia" w:hAnsiTheme="minorEastAsia" w:eastAsiaTheme="minorEastAsia"/>
          <w:lang w:val="en-US" w:eastAsia="zh-CN"/>
        </w:rPr>
        <w:t>跨境电商展</w:t>
      </w:r>
      <w:r>
        <w:rPr>
          <w:rFonts w:hint="eastAsia" w:asciiTheme="minorEastAsia" w:hAnsiTheme="minorEastAsia" w:eastAsiaTheme="minorEastAsia"/>
          <w:lang w:eastAsia="zh-CN"/>
        </w:rPr>
        <w:t>”），具体内容详见技术需求。</w:t>
      </w:r>
    </w:p>
    <w:p>
      <w:pPr>
        <w:pStyle w:val="491"/>
        <w:spacing w:line="360" w:lineRule="auto"/>
        <w:ind w:firstLine="0" w:firstLineChars="0"/>
        <w:rPr>
          <w:rFonts w:cs="宋体" w:asciiTheme="minorEastAsia" w:hAnsiTheme="minorEastAsia" w:eastAsiaTheme="minorEastAsia"/>
          <w:lang w:eastAsia="zh-CN"/>
        </w:rPr>
      </w:pPr>
      <w:r>
        <w:rPr>
          <w:rFonts w:cs="宋体" w:asciiTheme="minorEastAsia" w:hAnsiTheme="minorEastAsia" w:eastAsiaTheme="minorEastAsia"/>
          <w:lang w:eastAsia="zh-CN"/>
        </w:rPr>
        <w:t>3.3</w:t>
      </w:r>
      <w:r>
        <w:rPr>
          <w:rFonts w:hint="eastAsia" w:cs="宋体" w:asciiTheme="minorEastAsia" w:hAnsiTheme="minorEastAsia" w:eastAsiaTheme="minorEastAsia"/>
          <w:lang w:eastAsia="zh-CN"/>
        </w:rPr>
        <w:t>.项目地点及实施时间：</w:t>
      </w:r>
    </w:p>
    <w:p>
      <w:pPr>
        <w:snapToGrid w:val="0"/>
        <w:spacing w:line="360" w:lineRule="auto"/>
        <w:rPr>
          <w:rFonts w:hint="default" w:asciiTheme="minorEastAsia" w:hAnsiTheme="minorEastAsia" w:eastAsiaTheme="minorEastAsia"/>
          <w:lang w:val="en-US" w:eastAsia="zh-CN"/>
        </w:rPr>
      </w:pPr>
      <w:r>
        <w:rPr>
          <w:rFonts w:asciiTheme="minorEastAsia" w:hAnsiTheme="minorEastAsia" w:eastAsiaTheme="minorEastAsia"/>
          <w:lang w:eastAsia="zh-CN"/>
        </w:rPr>
        <w:t>3.3</w:t>
      </w:r>
      <w:r>
        <w:rPr>
          <w:rFonts w:hint="eastAsia" w:asciiTheme="minorEastAsia" w:hAnsiTheme="minorEastAsia" w:eastAsiaTheme="minorEastAsia"/>
          <w:lang w:eastAsia="zh-CN"/>
        </w:rPr>
        <w:t>.1、</w:t>
      </w:r>
      <w:r>
        <w:rPr>
          <w:rFonts w:hint="eastAsia" w:asciiTheme="minorEastAsia" w:hAnsiTheme="minorEastAsia" w:eastAsiaTheme="minorEastAsia" w:cstheme="minorEastAsia"/>
          <w:lang w:eastAsia="zh-CN"/>
        </w:rPr>
        <w:t>场馆名称：</w:t>
      </w:r>
      <w:r>
        <w:rPr>
          <w:rFonts w:hint="eastAsia" w:asciiTheme="minorEastAsia" w:hAnsiTheme="minorEastAsia" w:eastAsiaTheme="minorEastAsia" w:cstheme="minorEastAsia"/>
          <w:lang w:val="en-US" w:eastAsia="zh-CN"/>
        </w:rPr>
        <w:t>厦门国际会议展览中心</w:t>
      </w:r>
    </w:p>
    <w:p>
      <w:pPr>
        <w:snapToGrid w:val="0"/>
        <w:spacing w:line="360" w:lineRule="auto"/>
        <w:rPr>
          <w:rFonts w:hint="default" w:asciiTheme="minorEastAsia" w:hAnsiTheme="minorEastAsia" w:eastAsiaTheme="minorEastAsia"/>
          <w:lang w:val="en-US"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3.</w:t>
      </w:r>
      <w:r>
        <w:rPr>
          <w:rFonts w:hint="eastAsia" w:asciiTheme="minorEastAsia" w:hAnsiTheme="minorEastAsia" w:eastAsiaTheme="minorEastAsia"/>
          <w:lang w:eastAsia="zh-CN"/>
        </w:rPr>
        <w:t>2、</w:t>
      </w:r>
      <w:r>
        <w:rPr>
          <w:rFonts w:hint="eastAsia" w:asciiTheme="minorEastAsia" w:hAnsiTheme="minorEastAsia" w:eastAsiaTheme="minorEastAsia" w:cstheme="minorEastAsia"/>
          <w:lang w:eastAsia="zh-CN"/>
        </w:rPr>
        <w:t>实施时间：</w:t>
      </w:r>
      <w:r>
        <w:rPr>
          <w:rFonts w:hint="eastAsia" w:asciiTheme="minorEastAsia" w:hAnsiTheme="minorEastAsia" w:eastAsiaTheme="minorEastAsia" w:cstheme="minorEastAsia"/>
          <w:lang w:val="en-US" w:eastAsia="zh-CN"/>
        </w:rPr>
        <w:t>从合同签订日至项目结束</w:t>
      </w:r>
    </w:p>
    <w:p>
      <w:pPr>
        <w:pStyle w:val="491"/>
        <w:spacing w:line="360" w:lineRule="auto"/>
        <w:ind w:firstLine="0" w:firstLineChars="0"/>
        <w:rPr>
          <w:rFonts w:cs="宋体" w:asciiTheme="minorEastAsia" w:hAnsiTheme="minorEastAsia" w:eastAsiaTheme="minorEastAsia"/>
          <w:lang w:eastAsia="zh-CN"/>
        </w:rPr>
      </w:pPr>
      <w:bookmarkStart w:id="30" w:name="_Toc490297600"/>
      <w:r>
        <w:rPr>
          <w:rFonts w:cs="宋体" w:asciiTheme="minorEastAsia" w:hAnsiTheme="minorEastAsia" w:eastAsiaTheme="minorEastAsia"/>
          <w:lang w:eastAsia="zh-CN"/>
        </w:rPr>
        <w:t>4</w:t>
      </w:r>
      <w:r>
        <w:rPr>
          <w:rFonts w:hint="eastAsia" w:cs="宋体" w:asciiTheme="minorEastAsia" w:hAnsiTheme="minorEastAsia" w:eastAsiaTheme="minorEastAsia"/>
          <w:lang w:eastAsia="zh-CN"/>
        </w:rPr>
        <w:t>. 投标人资格要求</w:t>
      </w:r>
      <w:bookmarkEnd w:id="27"/>
      <w:bookmarkEnd w:id="28"/>
      <w:bookmarkEnd w:id="29"/>
      <w:bookmarkEnd w:id="30"/>
    </w:p>
    <w:p>
      <w:pPr>
        <w:pStyle w:val="491"/>
        <w:spacing w:line="360" w:lineRule="auto"/>
        <w:ind w:firstLine="440" w:firstLineChars="200"/>
        <w:rPr>
          <w:rFonts w:hint="eastAsia" w:asciiTheme="minorEastAsia" w:hAnsiTheme="minorEastAsia" w:eastAsiaTheme="minorEastAsia"/>
          <w:lang w:eastAsia="zh-CN"/>
        </w:rPr>
      </w:pPr>
      <w:bookmarkStart w:id="31" w:name="_Toc490297601"/>
      <w:bookmarkStart w:id="32" w:name="_Toc152045515"/>
      <w:bookmarkStart w:id="33" w:name="_Toc152042291"/>
      <w:bookmarkStart w:id="34" w:name="_Toc144974483"/>
      <w:r>
        <w:rPr>
          <w:rFonts w:hint="eastAsia" w:asciiTheme="minorEastAsia" w:hAnsiTheme="minorEastAsia" w:eastAsiaTheme="minorEastAsia"/>
          <w:lang w:eastAsia="zh-CN"/>
        </w:rPr>
        <w:t>凡具备《中华人民共和国政府采购法》第二十二条第一款的条件、有能力提供本投标文件所述货物及服务的境内供货商或制造商均可能成为合格的供应商。供应商须提交以下有效证明文件：</w:t>
      </w:r>
    </w:p>
    <w:p>
      <w:pPr>
        <w:pStyle w:val="491"/>
        <w:spacing w:line="360" w:lineRule="auto"/>
        <w:ind w:left="0" w:leftChars="0"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t>1投标函。</w:t>
      </w:r>
    </w:p>
    <w:p>
      <w:pPr>
        <w:pStyle w:val="491"/>
        <w:spacing w:line="36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t>2单位负责人授权书（法定代表人和投标代表人身份证复印件）。</w:t>
      </w:r>
    </w:p>
    <w:p>
      <w:pPr>
        <w:pStyle w:val="491"/>
        <w:spacing w:line="36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t>3法人或者其他组织的营业执照等证明文件。</w:t>
      </w:r>
    </w:p>
    <w:p>
      <w:pPr>
        <w:pStyle w:val="491"/>
        <w:spacing w:line="36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t>4提供上一年度或上一季度财务报告，至少包括“资产负债表、利润表、现金流量表”；或者提供开户许可证和投标截止时间前六个月内基本开户银行出具的资信证明；或者提供财政部门认可的政府采购专业担保机构出具的投标担保函。</w:t>
      </w:r>
    </w:p>
    <w:p>
      <w:pPr>
        <w:pStyle w:val="491"/>
        <w:spacing w:line="36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t>5提供投标截止时间前六个月任一个月的依法缴纳税收的凭据；或者提供依法免税的相应证明文件。</w:t>
      </w:r>
    </w:p>
    <w:p>
      <w:pPr>
        <w:pStyle w:val="491"/>
        <w:spacing w:line="36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t>6提供投标截止时间前六个月任一个月的依法缴纳社会保障资金的凭据；或者提供依法不需要缴纳社会保障资金的相应证明文件。</w:t>
      </w:r>
    </w:p>
    <w:p>
      <w:pPr>
        <w:pStyle w:val="491"/>
        <w:spacing w:line="36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t>7具有履行合同所必需的设备和专业技术能力，投标公司必须具备 2019年至今已完成单场5万平米及以上展览面积的展会主场及氛围项目服务经验。</w:t>
      </w:r>
    </w:p>
    <w:p>
      <w:pPr>
        <w:pStyle w:val="491"/>
        <w:spacing w:line="36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t>8单位负责人为同一人或者存在控股、管理关系的不同单位，不得参加同一标段或者未划分标段的同一招标项目投标</w:t>
      </w:r>
    </w:p>
    <w:p>
      <w:pPr>
        <w:pStyle w:val="491"/>
        <w:spacing w:line="36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t>9本次招标不接受联合体投标。</w:t>
      </w:r>
    </w:p>
    <w:p>
      <w:pPr>
        <w:pStyle w:val="491"/>
        <w:spacing w:line="360" w:lineRule="auto"/>
        <w:ind w:firstLine="440" w:firstLineChars="200"/>
        <w:rPr>
          <w:rFonts w:hint="eastAsia" w:asciiTheme="minorEastAsia" w:hAnsiTheme="minorEastAsia" w:eastAsiaTheme="minorEastAsia"/>
          <w:lang w:eastAsia="zh-CN"/>
        </w:rPr>
      </w:pPr>
      <w:r>
        <w:rPr>
          <w:rFonts w:hint="eastAsia" w:asciiTheme="minorEastAsia" w:hAnsiTheme="minorEastAsia" w:eastAsiaTheme="minorEastAsia"/>
          <w:lang w:eastAsia="zh-CN"/>
        </w:rPr>
        <w:t>以上所有资格证明文件必须同时满足，若有一项审核未通过视为没有实质性响应招标文件要求，按无效投标处理。提供的所有资格类文件资料应是有效、清晰。复印件加盖投标人公章，否则无效，原件备查。评标委员会对投标人所提供的资格类文件仅负审核责任。即使投标人所提交的资格类文件通过了审核，在评标过程中乃至确定中标人后，如发现投标人所提供的资格类文件不合法或不真实，仍可废除中标人中标资格并追究其法律责任。</w:t>
      </w:r>
    </w:p>
    <w:p>
      <w:pPr>
        <w:pStyle w:val="491"/>
        <w:spacing w:line="360" w:lineRule="auto"/>
        <w:ind w:firstLine="0" w:firstLineChars="0"/>
        <w:rPr>
          <w:rFonts w:cs="宋体" w:asciiTheme="minorEastAsia" w:hAnsiTheme="minorEastAsia" w:eastAsiaTheme="minorEastAsia"/>
          <w:lang w:eastAsia="zh-CN"/>
        </w:rPr>
      </w:pPr>
      <w:r>
        <w:rPr>
          <w:rFonts w:cs="宋体" w:asciiTheme="minorEastAsia" w:hAnsiTheme="minorEastAsia" w:eastAsiaTheme="minorEastAsia"/>
          <w:lang w:eastAsia="zh-CN"/>
        </w:rPr>
        <w:t>5</w:t>
      </w:r>
      <w:r>
        <w:rPr>
          <w:rFonts w:hint="eastAsia" w:cs="宋体" w:asciiTheme="minorEastAsia" w:hAnsiTheme="minorEastAsia" w:eastAsiaTheme="minorEastAsia"/>
          <w:lang w:eastAsia="zh-CN"/>
        </w:rPr>
        <w:t>.招标文件的获取</w:t>
      </w:r>
      <w:bookmarkEnd w:id="31"/>
      <w:bookmarkEnd w:id="32"/>
      <w:bookmarkEnd w:id="33"/>
      <w:bookmarkEnd w:id="34"/>
    </w:p>
    <w:p>
      <w:pPr>
        <w:spacing w:line="360" w:lineRule="auto"/>
        <w:ind w:firstLine="440" w:firstLineChars="200"/>
        <w:rPr>
          <w:rFonts w:hint="default" w:asciiTheme="minorEastAsia" w:hAnsiTheme="minorEastAsia" w:eastAsiaTheme="minorEastAsia"/>
          <w:color w:val="000000"/>
          <w:lang w:val="en-US" w:eastAsia="zh-CN"/>
        </w:rPr>
      </w:pPr>
      <w:bookmarkStart w:id="35" w:name="_Toc144974484"/>
      <w:bookmarkStart w:id="36" w:name="_Toc152045516"/>
      <w:bookmarkStart w:id="37" w:name="_Toc152042292"/>
      <w:bookmarkStart w:id="38" w:name="_Toc490297602"/>
      <w:r>
        <w:rPr>
          <w:rFonts w:hint="eastAsia" w:asciiTheme="minorEastAsia" w:hAnsiTheme="minorEastAsia" w:eastAsiaTheme="minorEastAsia"/>
          <w:color w:val="000000"/>
          <w:lang w:val="en-US" w:eastAsia="zh-CN"/>
        </w:rPr>
        <w:t>（1）登录厦门贸促网</w:t>
      </w:r>
      <w:r>
        <w:rPr>
          <w:rFonts w:hint="eastAsia" w:asciiTheme="minorEastAsia" w:hAnsiTheme="minorEastAsia" w:eastAsiaTheme="minorEastAsia"/>
          <w:color w:val="000000"/>
          <w:highlight w:val="none"/>
          <w:lang w:eastAsia="zh-CN"/>
        </w:rPr>
        <w:t>（http://www.ccpitxiamen.org/）</w:t>
      </w:r>
      <w:r>
        <w:rPr>
          <w:rFonts w:hint="eastAsia" w:asciiTheme="minorEastAsia" w:hAnsiTheme="minorEastAsia" w:eastAsiaTheme="minorEastAsia"/>
          <w:color w:val="000000"/>
          <w:lang w:val="en-US" w:eastAsia="zh-CN"/>
        </w:rPr>
        <w:t>获取。</w:t>
      </w:r>
    </w:p>
    <w:p>
      <w:pPr>
        <w:spacing w:line="360" w:lineRule="auto"/>
        <w:ind w:firstLine="440" w:firstLineChars="200"/>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（2）</w:t>
      </w:r>
      <w:r>
        <w:rPr>
          <w:rFonts w:asciiTheme="minorEastAsia" w:hAnsiTheme="minorEastAsia" w:eastAsiaTheme="minorEastAsia"/>
          <w:color w:val="000000"/>
          <w:lang w:eastAsia="zh-CN"/>
        </w:rPr>
        <w:t>招标文件售价：</w:t>
      </w:r>
      <w:r>
        <w:rPr>
          <w:rFonts w:hint="eastAsia" w:asciiTheme="minorEastAsia" w:hAnsiTheme="minorEastAsia" w:eastAsiaTheme="minorEastAsia"/>
          <w:color w:val="000000"/>
          <w:lang w:val="en-US" w:eastAsia="zh-CN"/>
        </w:rPr>
        <w:t>0元/套</w:t>
      </w:r>
      <w:r>
        <w:rPr>
          <w:rFonts w:asciiTheme="minorEastAsia" w:hAnsiTheme="minorEastAsia" w:eastAsiaTheme="minorEastAsia"/>
          <w:color w:val="000000"/>
          <w:lang w:eastAsia="zh-CN"/>
        </w:rPr>
        <w:t>。</w:t>
      </w:r>
    </w:p>
    <w:p>
      <w:pPr>
        <w:pStyle w:val="491"/>
        <w:spacing w:line="360" w:lineRule="auto"/>
        <w:ind w:firstLine="0" w:firstLineChars="0"/>
        <w:rPr>
          <w:rFonts w:cs="宋体" w:asciiTheme="minorEastAsia" w:hAnsiTheme="minorEastAsia" w:eastAsiaTheme="minorEastAsia"/>
          <w:lang w:eastAsia="zh-CN"/>
        </w:rPr>
      </w:pPr>
      <w:r>
        <w:rPr>
          <w:rFonts w:cs="宋体" w:asciiTheme="minorEastAsia" w:hAnsiTheme="minorEastAsia" w:eastAsiaTheme="minorEastAsia"/>
          <w:lang w:eastAsia="zh-CN"/>
        </w:rPr>
        <w:t>6</w:t>
      </w:r>
      <w:r>
        <w:rPr>
          <w:rFonts w:hint="eastAsia" w:cs="宋体" w:asciiTheme="minorEastAsia" w:hAnsiTheme="minorEastAsia" w:eastAsiaTheme="minorEastAsia"/>
          <w:lang w:eastAsia="zh-CN"/>
        </w:rPr>
        <w:t>.投标截止及开标时间与地点</w:t>
      </w:r>
      <w:bookmarkEnd w:id="35"/>
      <w:bookmarkEnd w:id="36"/>
      <w:bookmarkEnd w:id="37"/>
      <w:bookmarkEnd w:id="38"/>
    </w:p>
    <w:p>
      <w:pPr>
        <w:snapToGrid w:val="0"/>
        <w:spacing w:line="360" w:lineRule="auto"/>
        <w:rPr>
          <w:rFonts w:hint="default" w:asciiTheme="minorEastAsia" w:hAnsiTheme="minorEastAsia" w:eastAsiaTheme="minorEastAsia"/>
          <w:highlight w:val="none"/>
          <w:lang w:val="en-US" w:eastAsia="zh-CN"/>
        </w:rPr>
      </w:pPr>
      <w:r>
        <w:rPr>
          <w:rFonts w:asciiTheme="minorEastAsia" w:hAnsiTheme="minorEastAsia" w:eastAsiaTheme="minorEastAsia"/>
          <w:lang w:eastAsia="zh-CN"/>
        </w:rPr>
        <w:t>6.1投标文件递交的</w:t>
      </w:r>
      <w:r>
        <w:rPr>
          <w:rFonts w:hint="eastAsia" w:asciiTheme="minorEastAsia" w:hAnsiTheme="minorEastAsia" w:eastAsiaTheme="minorEastAsia"/>
          <w:lang w:eastAsia="zh-CN"/>
        </w:rPr>
        <w:t>截止时间及开标时</w:t>
      </w:r>
      <w:r>
        <w:rPr>
          <w:rFonts w:hint="eastAsia" w:asciiTheme="minorEastAsia" w:hAnsiTheme="minorEastAsia" w:eastAsiaTheme="minorEastAsia"/>
          <w:highlight w:val="none"/>
          <w:lang w:eastAsia="zh-CN"/>
        </w:rPr>
        <w:t>间</w:t>
      </w:r>
      <w:r>
        <w:rPr>
          <w:rFonts w:asciiTheme="minorEastAsia" w:hAnsiTheme="minorEastAsia" w:eastAsiaTheme="minorEastAsia"/>
          <w:highlight w:val="none"/>
          <w:lang w:eastAsia="zh-CN"/>
        </w:rPr>
        <w:t>为</w:t>
      </w:r>
      <w:r>
        <w:rPr>
          <w:rFonts w:asciiTheme="minorEastAsia" w:hAnsiTheme="minorEastAsia" w:eastAsiaTheme="minorEastAsia"/>
          <w:highlight w:val="none"/>
          <w:u w:val="single"/>
          <w:lang w:eastAsia="zh-CN"/>
        </w:rPr>
        <w:t xml:space="preserve"> 20</w:t>
      </w:r>
      <w:r>
        <w:rPr>
          <w:rFonts w:hint="eastAsia" w:asciiTheme="minorEastAsia" w:hAnsiTheme="minorEastAsia" w:eastAsiaTheme="minorEastAsia"/>
          <w:highlight w:val="none"/>
          <w:u w:val="single"/>
          <w:lang w:val="en-US" w:eastAsia="zh-CN"/>
        </w:rPr>
        <w:t>21</w:t>
      </w:r>
      <w:r>
        <w:rPr>
          <w:rFonts w:asciiTheme="minorEastAsia" w:hAnsiTheme="minorEastAsia" w:eastAsiaTheme="minorEastAsia"/>
          <w:highlight w:val="none"/>
          <w:lang w:eastAsia="zh-CN"/>
        </w:rPr>
        <w:t>年</w:t>
      </w:r>
      <w:r>
        <w:rPr>
          <w:rFonts w:hint="eastAsia" w:asciiTheme="minorEastAsia" w:hAnsiTheme="minorEastAsia" w:eastAsiaTheme="minorEastAsia"/>
          <w:highlight w:val="none"/>
          <w:u w:val="single"/>
          <w:lang w:val="en-US" w:eastAsia="zh-CN"/>
        </w:rPr>
        <w:t xml:space="preserve"> 9</w:t>
      </w:r>
      <w:r>
        <w:rPr>
          <w:rFonts w:asciiTheme="minorEastAsia" w:hAnsiTheme="minorEastAsia" w:eastAsiaTheme="minorEastAsia"/>
          <w:highlight w:val="none"/>
          <w:lang w:eastAsia="zh-CN"/>
        </w:rPr>
        <w:t>月</w:t>
      </w:r>
      <w:r>
        <w:rPr>
          <w:rFonts w:hint="eastAsia" w:asciiTheme="minorEastAsia" w:hAnsiTheme="minorEastAsia" w:eastAsiaTheme="minorEastAsia"/>
          <w:highlight w:val="none"/>
          <w:u w:val="single"/>
          <w:lang w:val="en-US" w:eastAsia="zh-CN"/>
        </w:rPr>
        <w:t xml:space="preserve"> 15</w:t>
      </w:r>
      <w:r>
        <w:rPr>
          <w:rFonts w:asciiTheme="minorEastAsia" w:hAnsiTheme="minorEastAsia" w:eastAsiaTheme="minorEastAsia"/>
          <w:highlight w:val="none"/>
          <w:lang w:eastAsia="zh-CN"/>
        </w:rPr>
        <w:t>日</w:t>
      </w:r>
      <w:r>
        <w:rPr>
          <w:rFonts w:asciiTheme="minorEastAsia" w:hAnsiTheme="minorEastAsia" w:eastAsiaTheme="minorEastAsia"/>
          <w:highlight w:val="none"/>
          <w:u w:val="single"/>
          <w:lang w:eastAsia="zh-CN"/>
        </w:rPr>
        <w:t xml:space="preserve"> </w:t>
      </w:r>
      <w:r>
        <w:rPr>
          <w:rFonts w:hint="eastAsia" w:asciiTheme="minorEastAsia" w:hAnsiTheme="minorEastAsia" w:eastAsiaTheme="minorEastAsia"/>
          <w:highlight w:val="none"/>
          <w:u w:val="single"/>
          <w:lang w:val="en-US" w:eastAsia="zh-CN"/>
        </w:rPr>
        <w:t>9</w:t>
      </w:r>
      <w:r>
        <w:rPr>
          <w:rFonts w:asciiTheme="minorEastAsia" w:hAnsiTheme="minorEastAsia" w:eastAsiaTheme="minorEastAsia"/>
          <w:highlight w:val="none"/>
          <w:u w:val="single"/>
          <w:lang w:eastAsia="zh-CN"/>
        </w:rPr>
        <w:t xml:space="preserve"> </w:t>
      </w:r>
      <w:r>
        <w:rPr>
          <w:rFonts w:asciiTheme="minorEastAsia" w:hAnsiTheme="minorEastAsia" w:eastAsiaTheme="minorEastAsia"/>
          <w:highlight w:val="none"/>
          <w:lang w:eastAsia="zh-CN"/>
        </w:rPr>
        <w:t>时</w:t>
      </w:r>
      <w:r>
        <w:rPr>
          <w:rFonts w:asciiTheme="minorEastAsia" w:hAnsiTheme="minorEastAsia" w:eastAsiaTheme="minorEastAsia"/>
          <w:highlight w:val="none"/>
          <w:u w:val="single"/>
          <w:lang w:eastAsia="zh-CN"/>
        </w:rPr>
        <w:t xml:space="preserve"> </w:t>
      </w:r>
      <w:r>
        <w:rPr>
          <w:rFonts w:hint="eastAsia" w:asciiTheme="minorEastAsia" w:hAnsiTheme="minorEastAsia" w:eastAsiaTheme="minorEastAsia"/>
          <w:highlight w:val="none"/>
          <w:u w:val="single"/>
          <w:lang w:val="en-US" w:eastAsia="zh-CN"/>
        </w:rPr>
        <w:t>00</w:t>
      </w:r>
      <w:r>
        <w:rPr>
          <w:rFonts w:asciiTheme="minorEastAsia" w:hAnsiTheme="minorEastAsia" w:eastAsiaTheme="minorEastAsia"/>
          <w:highlight w:val="none"/>
          <w:lang w:eastAsia="zh-CN"/>
        </w:rPr>
        <w:t>分，地点</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厦门市思明区白鹭洲路199号普利花园大厦12楼1204厦门国际商会</w:t>
      </w:r>
    </w:p>
    <w:p>
      <w:pPr>
        <w:snapToGrid w:val="0"/>
        <w:spacing w:line="360" w:lineRule="auto"/>
        <w:rPr>
          <w:rFonts w:hint="default" w:asciiTheme="minorEastAsia" w:hAnsiTheme="minorEastAsia" w:eastAsiaTheme="minorEastAsia"/>
          <w:highlight w:val="none"/>
          <w:lang w:val="en-US" w:eastAsia="zh-CN"/>
        </w:rPr>
      </w:pPr>
      <w:r>
        <w:rPr>
          <w:rFonts w:asciiTheme="minorEastAsia" w:hAnsiTheme="minorEastAsia" w:eastAsiaTheme="minorEastAsia"/>
          <w:highlight w:val="none"/>
          <w:lang w:eastAsia="zh-CN"/>
        </w:rPr>
        <w:t>6</w:t>
      </w:r>
      <w:r>
        <w:rPr>
          <w:rFonts w:hint="eastAsia" w:asciiTheme="minorEastAsia" w:hAnsiTheme="minorEastAsia" w:eastAsiaTheme="minorEastAsia"/>
          <w:highlight w:val="none"/>
          <w:lang w:eastAsia="zh-CN"/>
        </w:rPr>
        <w:t>.2开标地点：</w:t>
      </w:r>
      <w:r>
        <w:rPr>
          <w:rFonts w:hint="eastAsia" w:asciiTheme="minorEastAsia" w:hAnsiTheme="minorEastAsia" w:eastAsiaTheme="minorEastAsia"/>
          <w:highlight w:val="none"/>
          <w:lang w:val="en-US" w:eastAsia="zh-CN"/>
        </w:rPr>
        <w:t>厦门市思明区白鹭洲路199号普利花园大厦13楼大会议室</w:t>
      </w:r>
    </w:p>
    <w:p>
      <w:pPr>
        <w:snapToGrid w:val="0"/>
        <w:spacing w:line="360" w:lineRule="auto"/>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.3投标文件请于开标当日（投标截止时间之前）递交至开标地点。逾期收到或不符合规定的投标文件恕不接受。</w:t>
      </w:r>
    </w:p>
    <w:p>
      <w:pPr>
        <w:snapToGrid w:val="0"/>
        <w:spacing w:line="360" w:lineRule="auto"/>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.4届时请投标人派代表参加开标仪式。</w:t>
      </w:r>
    </w:p>
    <w:p>
      <w:pPr>
        <w:pStyle w:val="490"/>
        <w:snapToGrid w:val="0"/>
        <w:spacing w:before="0"/>
        <w:outlineLvl w:val="0"/>
        <w:rPr>
          <w:rFonts w:cs="黑体" w:asciiTheme="minorEastAsia" w:hAnsiTheme="minorEastAsia" w:eastAsiaTheme="minorEastAsia"/>
          <w:color w:val="auto"/>
          <w:sz w:val="22"/>
          <w:szCs w:val="22"/>
          <w:highlight w:val="none"/>
        </w:rPr>
      </w:pPr>
      <w:bookmarkStart w:id="39" w:name="_Toc157499355"/>
      <w:bookmarkStart w:id="40" w:name="_Toc490297604"/>
      <w:bookmarkStart w:id="41" w:name="_Toc11360"/>
      <w:r>
        <w:rPr>
          <w:rFonts w:hint="eastAsia" w:cs="黑体" w:asciiTheme="minorEastAsia" w:hAnsiTheme="minorEastAsia" w:eastAsiaTheme="minorEastAsia"/>
          <w:color w:val="auto"/>
          <w:sz w:val="22"/>
          <w:szCs w:val="22"/>
          <w:highlight w:val="none"/>
          <w:lang w:val="en-US" w:eastAsia="zh-CN"/>
        </w:rPr>
        <w:t>7</w:t>
      </w:r>
      <w:r>
        <w:rPr>
          <w:rFonts w:hint="eastAsia" w:cs="黑体" w:asciiTheme="minorEastAsia" w:hAnsiTheme="minorEastAsia" w:eastAsiaTheme="minorEastAsia"/>
          <w:color w:val="auto"/>
          <w:sz w:val="22"/>
          <w:szCs w:val="22"/>
          <w:highlight w:val="none"/>
        </w:rPr>
        <w:t>. 发布公告的媒介</w:t>
      </w:r>
      <w:bookmarkEnd w:id="39"/>
      <w:bookmarkEnd w:id="40"/>
      <w:bookmarkEnd w:id="41"/>
    </w:p>
    <w:p>
      <w:pPr>
        <w:snapToGrid w:val="0"/>
        <w:spacing w:line="400" w:lineRule="exact"/>
        <w:ind w:firstLine="440" w:firstLineChars="200"/>
        <w:rPr>
          <w:rFonts w:asciiTheme="minorEastAsia" w:hAnsiTheme="minorEastAsia" w:eastAsiaTheme="minorEastAsia"/>
          <w:highlight w:val="none"/>
        </w:rPr>
      </w:pPr>
      <w:r>
        <w:rPr>
          <w:rFonts w:hint="eastAsia" w:asciiTheme="minorEastAsia" w:hAnsiTheme="minorEastAsia" w:eastAsiaTheme="minorEastAsia"/>
          <w:color w:val="000000"/>
          <w:highlight w:val="none"/>
        </w:rPr>
        <w:t>本次招标公告在</w:t>
      </w:r>
      <w:r>
        <w:rPr>
          <w:rFonts w:hint="eastAsia" w:asciiTheme="minorEastAsia" w:hAnsiTheme="minorEastAsia" w:eastAsiaTheme="minorEastAsia"/>
          <w:color w:val="000000"/>
          <w:highlight w:val="none"/>
          <w:lang w:val="en-US" w:eastAsia="zh-CN"/>
        </w:rPr>
        <w:t>厦门贸促网</w:t>
      </w:r>
      <w:r>
        <w:rPr>
          <w:rFonts w:hint="eastAsia" w:asciiTheme="minorEastAsia" w:hAnsiTheme="minorEastAsia" w:eastAsiaTheme="minorEastAsia"/>
          <w:color w:val="000000"/>
          <w:highlight w:val="none"/>
          <w:lang w:eastAsia="zh-CN"/>
        </w:rPr>
        <w:t>（http://www.ccpitxiamen.org/）</w:t>
      </w:r>
      <w:r>
        <w:rPr>
          <w:rFonts w:hint="eastAsia" w:asciiTheme="minorEastAsia" w:hAnsiTheme="minorEastAsia" w:eastAsiaTheme="minorEastAsia"/>
          <w:color w:val="000000"/>
          <w:highlight w:val="none"/>
        </w:rPr>
        <w:t>发布</w:t>
      </w:r>
      <w:r>
        <w:rPr>
          <w:rFonts w:hint="eastAsia" w:asciiTheme="minorEastAsia" w:hAnsiTheme="minorEastAsia" w:eastAsiaTheme="minorEastAsia"/>
          <w:highlight w:val="none"/>
        </w:rPr>
        <w:t>。</w:t>
      </w:r>
    </w:p>
    <w:p>
      <w:pPr>
        <w:pStyle w:val="490"/>
        <w:snapToGrid w:val="0"/>
        <w:spacing w:before="0"/>
        <w:outlineLvl w:val="0"/>
        <w:rPr>
          <w:rFonts w:cs="黑体" w:asciiTheme="minorEastAsia" w:hAnsiTheme="minorEastAsia" w:eastAsiaTheme="minorEastAsia"/>
          <w:color w:val="auto"/>
          <w:sz w:val="22"/>
          <w:szCs w:val="22"/>
          <w:highlight w:val="none"/>
          <w:lang w:eastAsia="zh-CN"/>
        </w:rPr>
      </w:pPr>
      <w:bookmarkStart w:id="42" w:name="_Toc152045517"/>
      <w:bookmarkStart w:id="43" w:name="_Toc490297605"/>
      <w:bookmarkStart w:id="44" w:name="_Toc29811"/>
      <w:bookmarkStart w:id="45" w:name="_Toc144974485"/>
      <w:bookmarkStart w:id="46" w:name="_Toc152042293"/>
      <w:r>
        <w:rPr>
          <w:rFonts w:hint="eastAsia" w:cs="黑体" w:asciiTheme="minorEastAsia" w:hAnsiTheme="minorEastAsia" w:eastAsiaTheme="minorEastAsia"/>
          <w:color w:val="auto"/>
          <w:sz w:val="22"/>
          <w:szCs w:val="22"/>
          <w:highlight w:val="none"/>
          <w:lang w:val="en-US" w:eastAsia="zh-CN"/>
        </w:rPr>
        <w:t>8</w:t>
      </w:r>
      <w:r>
        <w:rPr>
          <w:rFonts w:hint="eastAsia" w:cs="黑体" w:asciiTheme="minorEastAsia" w:hAnsiTheme="minorEastAsia" w:eastAsiaTheme="minorEastAsia"/>
          <w:color w:val="auto"/>
          <w:sz w:val="22"/>
          <w:szCs w:val="22"/>
          <w:highlight w:val="none"/>
          <w:lang w:eastAsia="zh-CN"/>
        </w:rPr>
        <w:t>. 联系方式</w:t>
      </w:r>
      <w:bookmarkEnd w:id="42"/>
      <w:bookmarkEnd w:id="43"/>
      <w:bookmarkEnd w:id="44"/>
      <w:bookmarkEnd w:id="45"/>
      <w:bookmarkEnd w:id="46"/>
    </w:p>
    <w:p>
      <w:pPr>
        <w:snapToGrid w:val="0"/>
        <w:spacing w:line="400" w:lineRule="exact"/>
        <w:ind w:firstLine="442" w:firstLineChars="200"/>
        <w:rPr>
          <w:rFonts w:asciiTheme="minorEastAsia" w:hAnsiTheme="minorEastAsia" w:eastAsiaTheme="minorEastAsia"/>
          <w:b/>
          <w:highlight w:val="none"/>
          <w:lang w:eastAsia="zh-CN"/>
        </w:rPr>
      </w:pPr>
      <w:r>
        <w:rPr>
          <w:rFonts w:hint="eastAsia" w:asciiTheme="minorEastAsia" w:hAnsiTheme="minorEastAsia" w:eastAsiaTheme="minorEastAsia"/>
          <w:b/>
          <w:highlight w:val="none"/>
          <w:lang w:eastAsia="zh-CN"/>
        </w:rPr>
        <w:t>招   标   人：</w:t>
      </w:r>
      <w:r>
        <w:rPr>
          <w:rFonts w:hint="eastAsia" w:asciiTheme="minorEastAsia" w:hAnsiTheme="minorEastAsia" w:eastAsiaTheme="minorEastAsia"/>
          <w:b/>
          <w:highlight w:val="none"/>
          <w:lang w:val="en-US" w:eastAsia="zh-CN"/>
        </w:rPr>
        <w:t>厦门国际商会</w:t>
      </w:r>
    </w:p>
    <w:p>
      <w:pPr>
        <w:snapToGrid w:val="0"/>
        <w:spacing w:line="400" w:lineRule="exact"/>
        <w:ind w:left="1920" w:hanging="1495"/>
        <w:rPr>
          <w:rFonts w:hint="default" w:asciiTheme="minorEastAsia" w:hAnsiTheme="minorEastAsia" w:eastAsiaTheme="minorEastAsia"/>
          <w:highlight w:val="none"/>
          <w:lang w:val="en-US" w:eastAsia="zh-CN"/>
        </w:rPr>
      </w:pPr>
      <w:r>
        <w:rPr>
          <w:rFonts w:hint="eastAsia" w:asciiTheme="minorEastAsia" w:hAnsiTheme="minorEastAsia" w:eastAsiaTheme="minorEastAsia"/>
          <w:highlight w:val="none"/>
          <w:lang w:eastAsia="zh-CN"/>
        </w:rPr>
        <w:t>地        址：厦门市思明区白鹭洲路</w:t>
      </w:r>
      <w:r>
        <w:rPr>
          <w:rFonts w:hint="eastAsia" w:asciiTheme="minorEastAsia" w:hAnsiTheme="minorEastAsia" w:eastAsiaTheme="minorEastAsia"/>
          <w:highlight w:val="none"/>
          <w:lang w:val="en-US" w:eastAsia="zh-CN"/>
        </w:rPr>
        <w:t>199</w:t>
      </w:r>
      <w:r>
        <w:rPr>
          <w:rFonts w:hint="eastAsia" w:asciiTheme="minorEastAsia" w:hAnsiTheme="minorEastAsia" w:eastAsiaTheme="minorEastAsia"/>
          <w:highlight w:val="none"/>
          <w:lang w:eastAsia="zh-CN"/>
        </w:rPr>
        <w:t>号普利花园大厦12楼</w:t>
      </w:r>
      <w:r>
        <w:rPr>
          <w:rFonts w:hint="eastAsia" w:asciiTheme="minorEastAsia" w:hAnsiTheme="minorEastAsia" w:eastAsiaTheme="minorEastAsia"/>
          <w:highlight w:val="none"/>
          <w:lang w:val="en-US" w:eastAsia="zh-CN"/>
        </w:rPr>
        <w:t>1204</w:t>
      </w:r>
    </w:p>
    <w:p>
      <w:pPr>
        <w:snapToGrid w:val="0"/>
        <w:spacing w:line="400" w:lineRule="exact"/>
        <w:ind w:left="1920" w:hanging="1495"/>
        <w:rPr>
          <w:rFonts w:hint="default" w:asciiTheme="minorEastAsia" w:hAnsiTheme="minorEastAsia" w:eastAsiaTheme="minorEastAsia"/>
          <w:highlight w:val="none"/>
          <w:lang w:val="en-US" w:eastAsia="zh-CN"/>
        </w:rPr>
      </w:pPr>
      <w:r>
        <w:rPr>
          <w:rFonts w:hint="eastAsia" w:asciiTheme="minorEastAsia" w:hAnsiTheme="minorEastAsia" w:eastAsiaTheme="minorEastAsia"/>
          <w:highlight w:val="none"/>
          <w:lang w:eastAsia="zh-CN"/>
        </w:rPr>
        <w:t>电        话：</w:t>
      </w:r>
      <w:r>
        <w:rPr>
          <w:rFonts w:hint="eastAsia" w:asciiTheme="minorEastAsia" w:hAnsiTheme="minorEastAsia" w:eastAsiaTheme="minorEastAsia"/>
          <w:highlight w:val="none"/>
          <w:lang w:val="en-US" w:eastAsia="zh-CN"/>
        </w:rPr>
        <w:t>0592-2218830</w:t>
      </w:r>
    </w:p>
    <w:p>
      <w:pPr>
        <w:spacing w:line="360" w:lineRule="auto"/>
        <w:ind w:firstLine="440" w:firstLineChars="200"/>
        <w:rPr>
          <w:rFonts w:asciiTheme="minorEastAsia" w:hAnsiTheme="minorEastAsia" w:eastAsiaTheme="minorEastAsia"/>
          <w:lang w:eastAsia="zh-CN"/>
        </w:rPr>
      </w:pPr>
    </w:p>
    <w:p>
      <w:pPr>
        <w:spacing w:line="360" w:lineRule="auto"/>
        <w:ind w:firstLine="440" w:firstLineChars="200"/>
        <w:rPr>
          <w:rFonts w:asciiTheme="minorEastAsia" w:hAnsiTheme="minorEastAsia" w:eastAsiaTheme="minorEastAsia"/>
          <w:lang w:eastAsia="zh-CN"/>
        </w:rPr>
      </w:pPr>
    </w:p>
    <w:p>
      <w:pPr>
        <w:spacing w:line="360" w:lineRule="auto"/>
        <w:ind w:firstLine="440" w:firstLineChars="200"/>
        <w:rPr>
          <w:rFonts w:asciiTheme="minorEastAsia" w:hAnsiTheme="minorEastAsia" w:eastAsiaTheme="minorEastAsia"/>
          <w:lang w:eastAsia="zh-CN"/>
        </w:rPr>
      </w:pPr>
    </w:p>
    <w:p>
      <w:pPr>
        <w:spacing w:line="360" w:lineRule="auto"/>
        <w:ind w:firstLine="440" w:firstLineChars="200"/>
        <w:rPr>
          <w:rFonts w:asciiTheme="minorEastAsia" w:hAnsiTheme="minorEastAsia" w:eastAsiaTheme="minorEastAsia"/>
          <w:lang w:eastAsia="zh-CN"/>
        </w:rPr>
      </w:pPr>
    </w:p>
    <w:p>
      <w:pPr>
        <w:spacing w:line="360" w:lineRule="auto"/>
        <w:ind w:firstLine="440" w:firstLineChars="200"/>
        <w:rPr>
          <w:rFonts w:asciiTheme="minorEastAsia" w:hAnsiTheme="minorEastAsia" w:eastAsiaTheme="minorEastAsia"/>
          <w:lang w:eastAsia="zh-CN"/>
        </w:rPr>
      </w:pPr>
    </w:p>
    <w:p>
      <w:pPr>
        <w:spacing w:line="360" w:lineRule="auto"/>
        <w:ind w:firstLine="440" w:firstLineChars="200"/>
        <w:rPr>
          <w:rFonts w:asciiTheme="minorEastAsia" w:hAnsiTheme="minorEastAsia" w:eastAsiaTheme="minorEastAsia"/>
          <w:lang w:eastAsia="zh-CN"/>
        </w:rPr>
      </w:pPr>
    </w:p>
    <w:p>
      <w:pPr>
        <w:spacing w:line="360" w:lineRule="auto"/>
        <w:ind w:firstLine="440" w:firstLineChars="200"/>
        <w:rPr>
          <w:rFonts w:asciiTheme="minorEastAsia" w:hAnsiTheme="minorEastAsia" w:eastAsiaTheme="minorEastAsia"/>
          <w:lang w:eastAsia="zh-CN"/>
        </w:rPr>
      </w:pPr>
    </w:p>
    <w:p>
      <w:pPr>
        <w:spacing w:line="360" w:lineRule="auto"/>
        <w:ind w:firstLine="440" w:firstLineChars="200"/>
        <w:rPr>
          <w:rFonts w:asciiTheme="minorEastAsia" w:hAnsiTheme="minorEastAsia" w:eastAsiaTheme="minorEastAsia"/>
          <w:lang w:eastAsia="zh-CN"/>
        </w:rPr>
      </w:pPr>
    </w:p>
    <w:p>
      <w:pPr>
        <w:spacing w:line="360" w:lineRule="auto"/>
        <w:ind w:firstLine="440" w:firstLineChars="200"/>
        <w:rPr>
          <w:rFonts w:asciiTheme="minorEastAsia" w:hAnsiTheme="minorEastAsia" w:eastAsiaTheme="minorEastAsia"/>
          <w:lang w:eastAsia="zh-CN"/>
        </w:rPr>
      </w:pPr>
    </w:p>
    <w:p>
      <w:pPr>
        <w:keepNext/>
        <w:keepLines/>
        <w:tabs>
          <w:tab w:val="left" w:pos="2160"/>
        </w:tabs>
        <w:spacing w:before="340" w:after="330" w:line="360" w:lineRule="auto"/>
        <w:jc w:val="center"/>
        <w:outlineLvl w:val="0"/>
        <w:rPr>
          <w:rFonts w:asciiTheme="minorEastAsia" w:hAnsiTheme="minorEastAsia" w:eastAsiaTheme="minorEastAsia"/>
          <w:b/>
          <w:bCs/>
          <w:kern w:val="44"/>
          <w:lang w:eastAsia="zh-CN"/>
        </w:rPr>
      </w:pPr>
      <w:bookmarkStart w:id="47" w:name="_Toc49019216"/>
      <w:bookmarkStart w:id="48" w:name="_Toc236555291"/>
      <w:bookmarkStart w:id="49" w:name="_Toc465350682"/>
      <w:bookmarkStart w:id="50" w:name="_Toc319056973"/>
      <w:bookmarkStart w:id="51" w:name="_Toc411245396"/>
      <w:bookmarkStart w:id="52" w:name="_Toc99466900"/>
      <w:bookmarkStart w:id="53" w:name="_Toc47416177"/>
      <w:bookmarkStart w:id="54" w:name="_Toc47415923"/>
    </w:p>
    <w:p>
      <w:pPr>
        <w:keepNext/>
        <w:keepLines/>
        <w:tabs>
          <w:tab w:val="left" w:pos="2160"/>
        </w:tabs>
        <w:spacing w:before="340" w:after="330" w:line="360" w:lineRule="auto"/>
        <w:jc w:val="center"/>
        <w:outlineLvl w:val="0"/>
        <w:rPr>
          <w:rFonts w:asciiTheme="minorEastAsia" w:hAnsiTheme="minorEastAsia" w:eastAsiaTheme="minorEastAsia"/>
          <w:b/>
          <w:bCs/>
          <w:kern w:val="44"/>
          <w:lang w:eastAsia="zh-CN"/>
        </w:rPr>
      </w:pPr>
    </w:p>
    <w:p>
      <w:pPr>
        <w:keepNext/>
        <w:keepLines/>
        <w:tabs>
          <w:tab w:val="left" w:pos="2160"/>
        </w:tabs>
        <w:spacing w:before="340" w:after="330" w:line="360" w:lineRule="auto"/>
        <w:jc w:val="center"/>
        <w:outlineLvl w:val="0"/>
        <w:rPr>
          <w:rFonts w:asciiTheme="minorEastAsia" w:hAnsiTheme="minorEastAsia" w:eastAsiaTheme="minorEastAsia"/>
          <w:b/>
          <w:bCs/>
          <w:kern w:val="44"/>
          <w:lang w:eastAsia="zh-CN"/>
        </w:rPr>
      </w:pPr>
      <w:bookmarkStart w:id="55" w:name="_Toc32085"/>
      <w:r>
        <w:rPr>
          <w:rFonts w:hint="eastAsia" w:ascii="宋体" w:hAnsi="宋体"/>
          <w:b/>
          <w:bCs/>
          <w:kern w:val="44"/>
          <w:sz w:val="44"/>
          <w:szCs w:val="36"/>
          <w:lang w:eastAsia="zh-CN" w:bidi="ar-SA"/>
        </w:rPr>
        <w:t>第二章  投标人须知前附表</w:t>
      </w:r>
      <w:bookmarkEnd w:id="47"/>
      <w:bookmarkEnd w:id="48"/>
      <w:bookmarkEnd w:id="49"/>
      <w:bookmarkEnd w:id="50"/>
      <w:bookmarkEnd w:id="51"/>
      <w:bookmarkEnd w:id="52"/>
      <w:bookmarkEnd w:id="53"/>
      <w:bookmarkEnd w:id="54"/>
      <w:bookmarkEnd w:id="55"/>
    </w:p>
    <w:p>
      <w:pPr>
        <w:rPr>
          <w:rFonts w:asciiTheme="minorEastAsia" w:hAnsiTheme="minorEastAsia" w:eastAsiaTheme="minorEastAsia"/>
          <w:lang w:eastAsia="zh-CN"/>
        </w:rPr>
      </w:pPr>
      <w:r>
        <w:rPr>
          <w:rFonts w:asciiTheme="minorEastAsia" w:hAnsiTheme="minorEastAsia" w:eastAsiaTheme="minorEastAsia"/>
          <w:lang w:eastAsia="zh-CN"/>
        </w:rPr>
        <w:br w:type="page"/>
      </w:r>
    </w:p>
    <w:p>
      <w:pPr>
        <w:spacing w:line="360" w:lineRule="auto"/>
        <w:jc w:val="center"/>
        <w:rPr>
          <w:rFonts w:asciiTheme="minorEastAsia" w:hAnsiTheme="minorEastAsia" w:eastAsiaTheme="minorEastAsia"/>
          <w:w w:val="90"/>
          <w:lang w:eastAsia="zh-CN"/>
        </w:rPr>
      </w:pPr>
      <w:r>
        <w:rPr>
          <w:rFonts w:hint="eastAsia" w:asciiTheme="minorEastAsia" w:hAnsiTheme="minorEastAsia" w:eastAsiaTheme="minorEastAsia"/>
          <w:w w:val="90"/>
          <w:lang w:eastAsia="zh-CN"/>
        </w:rPr>
        <w:t>投标人须知前附表</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本表关于招标服务的具体要求是对投标人须知的具体补充和修改，如有矛盾，应以本表为准。</w:t>
      </w:r>
    </w:p>
    <w:tbl>
      <w:tblPr>
        <w:tblStyle w:val="37"/>
        <w:tblW w:w="8762" w:type="dxa"/>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28" w:type="dxa"/>
          <w:bottom w:w="0" w:type="dxa"/>
          <w:right w:w="28" w:type="dxa"/>
        </w:tblCellMar>
      </w:tblPr>
      <w:tblGrid>
        <w:gridCol w:w="1123"/>
        <w:gridCol w:w="39"/>
        <w:gridCol w:w="7600"/>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600" w:hRule="atLeast"/>
          <w:jc w:val="center"/>
        </w:trPr>
        <w:tc>
          <w:tcPr>
            <w:tcW w:w="116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条款号</w:t>
            </w:r>
          </w:p>
        </w:tc>
        <w:tc>
          <w:tcPr>
            <w:tcW w:w="7600" w:type="dxa"/>
            <w:tcBorders>
              <w:top w:val="single" w:color="auto" w:sz="2" w:space="0"/>
              <w:left w:val="single" w:color="auto" w:sz="2" w:space="0"/>
              <w:bottom w:val="single" w:color="auto" w:sz="2" w:space="0"/>
              <w:right w:val="single" w:color="auto" w:sz="2" w:space="0"/>
            </w:tcBorders>
            <w:vAlign w:val="center"/>
          </w:tcPr>
          <w:p>
            <w:pPr>
              <w:jc w:val="center"/>
              <w:rPr>
                <w:rFonts w:asciiTheme="minorEastAsia" w:hAnsiTheme="minorEastAsia" w:eastAsiaTheme="minorEastAsia"/>
                <w:b/>
                <w:bCs/>
              </w:rPr>
            </w:pPr>
            <w:r>
              <w:rPr>
                <w:rFonts w:hint="eastAsia" w:asciiTheme="minorEastAsia" w:hAnsiTheme="minorEastAsia" w:eastAsiaTheme="minorEastAsia"/>
                <w:b/>
                <w:bCs/>
              </w:rPr>
              <w:t>内      容</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600" w:hRule="atLeast"/>
          <w:jc w:val="center"/>
        </w:trPr>
        <w:tc>
          <w:tcPr>
            <w:tcW w:w="8762"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heme="minorEastAsia" w:hAnsiTheme="minorEastAsia" w:eastAsiaTheme="minorEastAsia"/>
                <w:b/>
                <w:bCs/>
              </w:rPr>
            </w:pPr>
            <w:r>
              <w:rPr>
                <w:rFonts w:hint="eastAsia" w:asciiTheme="minorEastAsia" w:hAnsiTheme="minorEastAsia" w:eastAsiaTheme="minorEastAsia"/>
                <w:b/>
                <w:bCs/>
              </w:rPr>
              <w:t>说     明</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600" w:hRule="atLeast"/>
          <w:jc w:val="center"/>
        </w:trPr>
        <w:tc>
          <w:tcPr>
            <w:tcW w:w="112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Theme="minorEastAsia" w:hAnsiTheme="minorEastAsia" w:eastAsiaTheme="minorEastAsia"/>
              </w:rPr>
            </w:pPr>
            <w:r>
              <w:rPr>
                <w:rFonts w:hint="eastAsia" w:asciiTheme="minorEastAsia" w:hAnsiTheme="minorEastAsia" w:eastAsiaTheme="minorEastAsia"/>
              </w:rPr>
              <w:t>1.1</w:t>
            </w:r>
          </w:p>
        </w:tc>
        <w:tc>
          <w:tcPr>
            <w:tcW w:w="7639" w:type="dxa"/>
            <w:gridSpan w:val="2"/>
            <w:tcBorders>
              <w:top w:val="single" w:color="auto" w:sz="2" w:space="0"/>
              <w:left w:val="single" w:color="auto" w:sz="2" w:space="0"/>
              <w:bottom w:val="single" w:color="auto" w:sz="2" w:space="0"/>
              <w:right w:val="single" w:color="auto" w:sz="2" w:space="0"/>
            </w:tcBorders>
            <w:vAlign w:val="center"/>
          </w:tcPr>
          <w:p>
            <w:pPr>
              <w:snapToGrid w:val="0"/>
              <w:jc w:val="left"/>
              <w:rPr>
                <w:rFonts w:asciiTheme="minorEastAsia" w:hAnsiTheme="minorEastAsia" w:eastAsiaTheme="minorEastAsia"/>
                <w:color w:val="FF0000"/>
                <w:lang w:eastAsia="zh-CN"/>
              </w:rPr>
            </w:pPr>
            <w:r>
              <w:rPr>
                <w:rFonts w:hint="eastAsia" w:asciiTheme="minorEastAsia" w:hAnsiTheme="minorEastAsia" w:eastAsiaTheme="minorEastAsia"/>
                <w:lang w:eastAsia="zh-CN"/>
              </w:rPr>
              <w:t>招标项目：</w:t>
            </w:r>
            <w:r>
              <w:rPr>
                <w:rFonts w:hint="eastAsia" w:asciiTheme="minorEastAsia" w:hAnsiTheme="minorEastAsia" w:eastAsiaTheme="minorEastAsia" w:cstheme="minorEastAsia"/>
                <w:lang w:eastAsia="zh-CN"/>
              </w:rPr>
              <w:t>2022年中国（</w:t>
            </w:r>
            <w:r>
              <w:rPr>
                <w:rFonts w:hint="eastAsia" w:asciiTheme="minorEastAsia" w:hAnsiTheme="minorEastAsia" w:eastAsiaTheme="minorEastAsia" w:cstheme="minorEastAsia"/>
                <w:lang w:val="en-US" w:eastAsia="zh-CN"/>
              </w:rPr>
              <w:t>厦门</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跨境电商展综合</w:t>
            </w:r>
            <w:r>
              <w:rPr>
                <w:rFonts w:hint="eastAsia" w:asciiTheme="minorEastAsia" w:hAnsiTheme="minorEastAsia" w:eastAsiaTheme="minorEastAsia" w:cstheme="minorEastAsia"/>
                <w:lang w:eastAsia="zh-CN"/>
              </w:rPr>
              <w:t>运营服务</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753" w:hRule="atLeast"/>
          <w:jc w:val="center"/>
        </w:trPr>
        <w:tc>
          <w:tcPr>
            <w:tcW w:w="1123"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2.1</w:t>
            </w:r>
          </w:p>
        </w:tc>
        <w:tc>
          <w:tcPr>
            <w:tcW w:w="7639" w:type="dxa"/>
            <w:gridSpan w:val="2"/>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left"/>
              <w:rPr>
                <w:rFonts w:asciiTheme="minorEastAsia" w:hAnsiTheme="minorEastAsia" w:eastAsiaTheme="minorEastAsia"/>
                <w:lang w:eastAsia="zh-CN"/>
              </w:rPr>
            </w:pPr>
            <w:r>
              <w:rPr>
                <w:rFonts w:hint="eastAsia" w:asciiTheme="minorEastAsia" w:hAnsiTheme="minorEastAsia" w:eastAsiaTheme="minorEastAsia"/>
                <w:lang w:eastAsia="zh-CN"/>
              </w:rPr>
              <w:t>招标人名称：</w:t>
            </w:r>
            <w:r>
              <w:rPr>
                <w:rFonts w:hint="eastAsia" w:asciiTheme="minorEastAsia" w:hAnsiTheme="minorEastAsia" w:eastAsiaTheme="minorEastAsia"/>
                <w:lang w:val="en-US" w:eastAsia="zh-CN"/>
              </w:rPr>
              <w:t>厦门国际商会</w:t>
            </w:r>
          </w:p>
          <w:p>
            <w:pPr>
              <w:snapToGrid w:val="0"/>
              <w:spacing w:line="360" w:lineRule="auto"/>
              <w:jc w:val="left"/>
              <w:rPr>
                <w:rFonts w:asciiTheme="minorEastAsia" w:hAnsiTheme="minorEastAsia" w:eastAsiaTheme="minorEastAsia"/>
                <w:lang w:eastAsia="zh-CN"/>
              </w:rPr>
            </w:pPr>
            <w:r>
              <w:rPr>
                <w:rFonts w:hint="eastAsia" w:asciiTheme="minorEastAsia" w:hAnsiTheme="minorEastAsia" w:eastAsiaTheme="minorEastAsia"/>
                <w:lang w:eastAsia="zh-CN"/>
              </w:rPr>
              <w:t>地址：厦门市思明区白鹭洲路</w:t>
            </w:r>
            <w:r>
              <w:rPr>
                <w:rFonts w:hint="eastAsia" w:asciiTheme="minorEastAsia" w:hAnsiTheme="minorEastAsia" w:eastAsiaTheme="minorEastAsia"/>
                <w:lang w:val="en-US" w:eastAsia="zh-CN"/>
              </w:rPr>
              <w:t>199</w:t>
            </w:r>
            <w:r>
              <w:rPr>
                <w:rFonts w:hint="eastAsia" w:asciiTheme="minorEastAsia" w:hAnsiTheme="minorEastAsia" w:eastAsiaTheme="minorEastAsia"/>
                <w:lang w:eastAsia="zh-CN"/>
              </w:rPr>
              <w:t>号普利花园大厦12楼厦门国际商会</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600" w:hRule="atLeast"/>
          <w:jc w:val="center"/>
        </w:trPr>
        <w:tc>
          <w:tcPr>
            <w:tcW w:w="1123"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hint="eastAsia" w:asciiTheme="minorEastAsia" w:hAnsiTheme="minorEastAsia" w:eastAsiaTheme="minorEastAsia"/>
                <w:lang w:eastAsia="zh-CN"/>
              </w:rPr>
            </w:pPr>
            <w:r>
              <w:rPr>
                <w:rFonts w:hint="eastAsia" w:asciiTheme="minorEastAsia" w:hAnsiTheme="minorEastAsia" w:eastAsiaTheme="minorEastAsia"/>
              </w:rPr>
              <w:t>2.</w:t>
            </w:r>
            <w:r>
              <w:rPr>
                <w:rFonts w:hint="eastAsia" w:asciiTheme="minorEastAsia" w:hAnsiTheme="minorEastAsia" w:eastAsiaTheme="minorEastAsia"/>
                <w:lang w:val="en-US" w:eastAsia="zh-CN"/>
              </w:rPr>
              <w:t>2</w:t>
            </w:r>
          </w:p>
        </w:tc>
        <w:tc>
          <w:tcPr>
            <w:tcW w:w="7639"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heme="minorEastAsia" w:hAnsiTheme="minorEastAsia" w:eastAsiaTheme="minorEastAsia"/>
                <w:lang w:eastAsia="zh-CN"/>
              </w:rPr>
            </w:pPr>
            <w:r>
              <w:rPr>
                <w:rFonts w:hint="eastAsia" w:asciiTheme="minorEastAsia" w:hAnsiTheme="minorEastAsia" w:eastAsiaTheme="minorEastAsia"/>
                <w:lang w:eastAsia="zh-CN"/>
              </w:rPr>
              <w:t>合格的投标人：见投标邀请书第4条投标人资格要求</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600" w:hRule="atLeast"/>
          <w:jc w:val="center"/>
        </w:trPr>
        <w:tc>
          <w:tcPr>
            <w:tcW w:w="8762" w:type="dxa"/>
            <w:gridSpan w:val="3"/>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heme="minorEastAsia" w:hAnsiTheme="minorEastAsia" w:eastAsiaTheme="minorEastAsia"/>
                <w:b/>
                <w:bCs/>
              </w:rPr>
            </w:pPr>
            <w:r>
              <w:rPr>
                <w:rFonts w:hint="eastAsia" w:asciiTheme="minorEastAsia" w:hAnsiTheme="minorEastAsia" w:eastAsiaTheme="minorEastAsia"/>
                <w:b/>
                <w:bCs/>
              </w:rPr>
              <w:t>投  标  报  价  和  货  币</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642" w:hRule="atLeast"/>
          <w:jc w:val="center"/>
        </w:trPr>
        <w:tc>
          <w:tcPr>
            <w:tcW w:w="112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3.1</w:t>
            </w:r>
          </w:p>
        </w:tc>
        <w:tc>
          <w:tcPr>
            <w:tcW w:w="7639"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heme="minorEastAsia" w:hAnsiTheme="minorEastAsia" w:eastAsiaTheme="minorEastAsia"/>
                <w:i/>
                <w:iCs/>
                <w:lang w:eastAsia="zh-CN"/>
              </w:rPr>
            </w:pPr>
            <w:r>
              <w:rPr>
                <w:rFonts w:hint="eastAsia" w:asciiTheme="minorEastAsia" w:hAnsiTheme="minorEastAsia" w:eastAsiaTheme="minorEastAsia"/>
                <w:lang w:eastAsia="zh-CN"/>
              </w:rPr>
              <w:t>投标报价：按</w:t>
            </w:r>
            <w:r>
              <w:rPr>
                <w:rFonts w:hint="eastAsia" w:asciiTheme="minorEastAsia" w:hAnsiTheme="minorEastAsia" w:eastAsiaTheme="minorEastAsia" w:cstheme="minorEastAsia"/>
                <w:lang w:eastAsia="zh-CN"/>
              </w:rPr>
              <w:t>2022年中国（</w:t>
            </w:r>
            <w:r>
              <w:rPr>
                <w:rFonts w:hint="eastAsia" w:asciiTheme="minorEastAsia" w:hAnsiTheme="minorEastAsia" w:eastAsiaTheme="minorEastAsia" w:cstheme="minorEastAsia"/>
                <w:lang w:val="en-US" w:eastAsia="zh-CN"/>
              </w:rPr>
              <w:t>厦门</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跨境电商展综合</w:t>
            </w:r>
            <w:r>
              <w:rPr>
                <w:rFonts w:hint="eastAsia" w:asciiTheme="minorEastAsia" w:hAnsiTheme="minorEastAsia" w:eastAsiaTheme="minorEastAsia" w:cstheme="minorEastAsia"/>
                <w:lang w:eastAsia="zh-CN"/>
              </w:rPr>
              <w:t>运营服务</w:t>
            </w:r>
            <w:r>
              <w:rPr>
                <w:rFonts w:hint="eastAsia" w:asciiTheme="minorEastAsia" w:hAnsiTheme="minorEastAsia" w:eastAsiaTheme="minorEastAsia"/>
                <w:lang w:eastAsia="zh-CN"/>
              </w:rPr>
              <w:t>项目技术要求，根据市场行情、企业自身实力及经验自主报价，为</w:t>
            </w:r>
            <w:r>
              <w:rPr>
                <w:rFonts w:hint="eastAsia" w:asciiTheme="minorEastAsia" w:hAnsiTheme="minorEastAsia" w:eastAsiaTheme="minorEastAsia" w:cstheme="minorEastAsia"/>
                <w:lang w:eastAsia="zh-CN"/>
              </w:rPr>
              <w:t>2022年中国（</w:t>
            </w:r>
            <w:r>
              <w:rPr>
                <w:rFonts w:hint="eastAsia" w:asciiTheme="minorEastAsia" w:hAnsiTheme="minorEastAsia" w:eastAsiaTheme="minorEastAsia" w:cstheme="minorEastAsia"/>
                <w:lang w:val="en-US" w:eastAsia="zh-CN"/>
              </w:rPr>
              <w:t>厦门</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跨境电商展综合</w:t>
            </w:r>
            <w:r>
              <w:rPr>
                <w:rFonts w:hint="eastAsia" w:asciiTheme="minorEastAsia" w:hAnsiTheme="minorEastAsia" w:eastAsiaTheme="minorEastAsia" w:cstheme="minorEastAsia"/>
                <w:lang w:eastAsia="zh-CN"/>
              </w:rPr>
              <w:t>运营服务</w:t>
            </w:r>
            <w:r>
              <w:rPr>
                <w:rFonts w:hint="eastAsia" w:asciiTheme="minorEastAsia" w:hAnsiTheme="minorEastAsia" w:eastAsiaTheme="minorEastAsia"/>
                <w:lang w:eastAsia="zh-CN"/>
              </w:rPr>
              <w:t>项目技术要求的全部费用。</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445" w:hRule="atLeast"/>
          <w:jc w:val="center"/>
        </w:trPr>
        <w:tc>
          <w:tcPr>
            <w:tcW w:w="112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3.2</w:t>
            </w:r>
          </w:p>
        </w:tc>
        <w:tc>
          <w:tcPr>
            <w:tcW w:w="7639"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投标货币：人民币</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445" w:hRule="atLeast"/>
          <w:jc w:val="center"/>
        </w:trPr>
        <w:tc>
          <w:tcPr>
            <w:tcW w:w="112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3.3</w:t>
            </w:r>
          </w:p>
        </w:tc>
        <w:tc>
          <w:tcPr>
            <w:tcW w:w="7639"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hint="default" w:asciiTheme="minorEastAsia" w:hAnsiTheme="minorEastAsia" w:eastAsiaTheme="minorEastAsia"/>
                <w:lang w:val="en-US" w:eastAsia="zh-CN"/>
              </w:rPr>
            </w:pPr>
            <w:r>
              <w:rPr>
                <w:rFonts w:hint="eastAsia" w:asciiTheme="minorEastAsia" w:hAnsiTheme="minorEastAsia" w:eastAsiaTheme="minorEastAsia"/>
                <w:lang w:eastAsia="zh-CN"/>
              </w:rPr>
              <w:t>拦标价：</w:t>
            </w:r>
            <w:r>
              <w:rPr>
                <w:rFonts w:hint="eastAsia" w:asciiTheme="minorEastAsia" w:hAnsiTheme="minorEastAsia" w:eastAsiaTheme="minorEastAsia"/>
                <w:highlight w:val="none"/>
                <w:lang w:val="en-US" w:eastAsia="zh-CN"/>
              </w:rPr>
              <w:t>65万元</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490" w:hRule="atLeast"/>
          <w:jc w:val="center"/>
        </w:trPr>
        <w:tc>
          <w:tcPr>
            <w:tcW w:w="8762" w:type="dxa"/>
            <w:gridSpan w:val="3"/>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heme="minorEastAsia" w:hAnsiTheme="minorEastAsia" w:eastAsiaTheme="minorEastAsia"/>
                <w:b/>
                <w:bCs/>
              </w:rPr>
            </w:pPr>
            <w:r>
              <w:rPr>
                <w:rFonts w:hint="eastAsia" w:asciiTheme="minorEastAsia" w:hAnsiTheme="minorEastAsia" w:eastAsiaTheme="minorEastAsia"/>
                <w:b/>
                <w:bCs/>
              </w:rPr>
              <w:t>投 标 书 的 编 制 和 递 交</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556" w:hRule="atLeast"/>
          <w:jc w:val="center"/>
        </w:trPr>
        <w:tc>
          <w:tcPr>
            <w:tcW w:w="1162"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4.1</w:t>
            </w:r>
          </w:p>
        </w:tc>
        <w:tc>
          <w:tcPr>
            <w:tcW w:w="7600"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heme="minorEastAsia" w:hAnsiTheme="minorEastAsia" w:eastAsiaTheme="minorEastAsia"/>
                <w:lang w:eastAsia="zh-CN"/>
              </w:rPr>
            </w:pPr>
            <w:r>
              <w:rPr>
                <w:rFonts w:hint="eastAsia" w:asciiTheme="minorEastAsia" w:hAnsiTheme="minorEastAsia" w:eastAsiaTheme="minorEastAsia"/>
                <w:lang w:eastAsia="zh-CN"/>
              </w:rPr>
              <w:t>投标人应按要求制作投标文件。</w:t>
            </w:r>
            <w:r>
              <w:rPr>
                <w:rFonts w:hint="eastAsia" w:cs="宋体" w:asciiTheme="minorEastAsia" w:hAnsiTheme="minorEastAsia" w:eastAsiaTheme="minorEastAsia"/>
                <w:lang w:eastAsia="zh-CN"/>
              </w:rPr>
              <w:t>投标文件采用胶印、标明页码。</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445" w:hRule="atLeast"/>
          <w:jc w:val="center"/>
        </w:trPr>
        <w:tc>
          <w:tcPr>
            <w:tcW w:w="1162"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4.2</w:t>
            </w:r>
          </w:p>
        </w:tc>
        <w:tc>
          <w:tcPr>
            <w:tcW w:w="7600"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heme="minorEastAsia" w:hAnsiTheme="minorEastAsia" w:eastAsiaTheme="minorEastAsia"/>
                <w:lang w:eastAsia="zh-CN"/>
              </w:rPr>
            </w:pPr>
            <w:r>
              <w:rPr>
                <w:rFonts w:hint="eastAsia" w:asciiTheme="minorEastAsia" w:hAnsiTheme="minorEastAsia" w:eastAsiaTheme="minorEastAsia"/>
                <w:lang w:eastAsia="zh-CN"/>
              </w:rPr>
              <w:t>投标保证金：</w:t>
            </w:r>
            <w:r>
              <w:rPr>
                <w:rFonts w:hint="eastAsia" w:asciiTheme="minorEastAsia" w:hAnsiTheme="minorEastAsia" w:eastAsiaTheme="minorEastAsia"/>
                <w:lang w:val="en-US" w:eastAsia="zh-CN"/>
              </w:rPr>
              <w:t>无</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600" w:hRule="atLeast"/>
          <w:jc w:val="center"/>
        </w:trPr>
        <w:tc>
          <w:tcPr>
            <w:tcW w:w="1162"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Theme="minorEastAsia" w:hAnsiTheme="minorEastAsia" w:eastAsiaTheme="minorEastAsia"/>
                <w:lang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3</w:t>
            </w:r>
          </w:p>
        </w:tc>
        <w:tc>
          <w:tcPr>
            <w:tcW w:w="7600"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投标有效期：90天</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600" w:hRule="atLeast"/>
          <w:jc w:val="center"/>
        </w:trPr>
        <w:tc>
          <w:tcPr>
            <w:tcW w:w="1162"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Theme="minorEastAsia" w:hAnsiTheme="minorEastAsia" w:eastAsiaTheme="minorEastAsia"/>
                <w:lang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p>
        </w:tc>
        <w:tc>
          <w:tcPr>
            <w:tcW w:w="7600"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left"/>
              <w:rPr>
                <w:rFonts w:asciiTheme="minorEastAsia" w:hAnsiTheme="minorEastAsia" w:eastAsiaTheme="minorEastAsia"/>
                <w:lang w:eastAsia="zh-CN"/>
              </w:rPr>
            </w:pPr>
            <w:r>
              <w:rPr>
                <w:rFonts w:hint="eastAsia" w:asciiTheme="minorEastAsia" w:hAnsiTheme="minorEastAsia" w:eastAsiaTheme="minorEastAsia"/>
                <w:lang w:eastAsia="zh-CN"/>
              </w:rPr>
              <w:t>投标文件份数：正本</w:t>
            </w:r>
            <w:r>
              <w:rPr>
                <w:rFonts w:hint="eastAsia" w:asciiTheme="minorEastAsia" w:hAnsiTheme="minorEastAsia" w:eastAsiaTheme="minorEastAsia"/>
                <w:lang w:val="en-US" w:eastAsia="zh-CN"/>
              </w:rPr>
              <w:t>壹</w:t>
            </w:r>
            <w:r>
              <w:rPr>
                <w:rFonts w:hint="eastAsia" w:asciiTheme="minorEastAsia" w:hAnsiTheme="minorEastAsia" w:eastAsiaTheme="minorEastAsia"/>
                <w:lang w:eastAsia="zh-CN"/>
              </w:rPr>
              <w:t>份，副本</w:t>
            </w:r>
            <w:r>
              <w:rPr>
                <w:rFonts w:hint="eastAsia" w:asciiTheme="minorEastAsia" w:hAnsiTheme="minorEastAsia" w:eastAsiaTheme="minorEastAsia"/>
                <w:lang w:val="en-US" w:eastAsia="zh-CN"/>
              </w:rPr>
              <w:t>贰</w:t>
            </w:r>
            <w:r>
              <w:rPr>
                <w:rFonts w:hint="eastAsia" w:asciiTheme="minorEastAsia" w:hAnsiTheme="minorEastAsia" w:eastAsiaTheme="minorEastAsia"/>
                <w:lang w:eastAsia="zh-CN"/>
              </w:rPr>
              <w:t>份；电子文件：</w:t>
            </w:r>
            <w:r>
              <w:rPr>
                <w:rFonts w:hint="eastAsia" w:asciiTheme="minorEastAsia" w:hAnsiTheme="minorEastAsia" w:eastAsiaTheme="minorEastAsia"/>
                <w:lang w:val="en-US" w:eastAsia="zh-CN"/>
              </w:rPr>
              <w:t>壹</w:t>
            </w:r>
            <w:r>
              <w:rPr>
                <w:rFonts w:hint="eastAsia" w:asciiTheme="minorEastAsia" w:hAnsiTheme="minorEastAsia" w:eastAsiaTheme="minorEastAsia"/>
                <w:lang w:eastAsia="zh-CN"/>
              </w:rPr>
              <w:t>份（U盘）。中标人在中标后再根据招标人需要提供投标文件副本按招标人的要求另行提供。</w:t>
            </w:r>
          </w:p>
          <w:p>
            <w:pPr>
              <w:spacing w:line="360" w:lineRule="auto"/>
              <w:jc w:val="left"/>
              <w:rPr>
                <w:rFonts w:asciiTheme="minorEastAsia" w:hAnsiTheme="minorEastAsia" w:eastAsiaTheme="minorEastAsia"/>
                <w:lang w:eastAsia="zh-CN"/>
              </w:rPr>
            </w:pPr>
            <w:r>
              <w:rPr>
                <w:rFonts w:hint="eastAsia" w:asciiTheme="minorEastAsia" w:hAnsiTheme="minorEastAsia" w:eastAsiaTheme="minorEastAsia"/>
                <w:b/>
                <w:bCs/>
                <w:lang w:val="en-US" w:eastAsia="zh-CN"/>
              </w:rPr>
              <w:t>投</w:t>
            </w:r>
            <w:r>
              <w:rPr>
                <w:rFonts w:hint="eastAsia" w:asciiTheme="minorEastAsia" w:hAnsiTheme="minorEastAsia" w:eastAsiaTheme="minorEastAsia"/>
                <w:b/>
                <w:bCs/>
                <w:lang w:eastAsia="zh-CN"/>
              </w:rPr>
              <w:t>标一览表、投标函及投标单位基本信息表单独盖章封装在信封中作为投标函</w:t>
            </w:r>
            <w:r>
              <w:rPr>
                <w:rFonts w:hint="eastAsia" w:asciiTheme="minorEastAsia" w:hAnsiTheme="minorEastAsia" w:eastAsiaTheme="minorEastAsia"/>
                <w:lang w:eastAsia="zh-CN"/>
              </w:rPr>
              <w:t>，</w:t>
            </w:r>
            <w:r>
              <w:rPr>
                <w:rFonts w:hint="eastAsia" w:cs="宋体" w:asciiTheme="minorEastAsia" w:hAnsiTheme="minorEastAsia" w:eastAsiaTheme="minorEastAsia"/>
                <w:lang w:eastAsia="zh-CN"/>
              </w:rPr>
              <w:t>投标文件采用胶印、标明页码，要求密封的外包装封口应加盖骑缝章</w:t>
            </w:r>
            <w:r>
              <w:rPr>
                <w:rFonts w:hint="eastAsia" w:asciiTheme="minorEastAsia" w:hAnsiTheme="minorEastAsia" w:eastAsiaTheme="minorEastAsia"/>
                <w:lang w:eastAsia="zh-CN"/>
              </w:rPr>
              <w:t>。</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600" w:hRule="atLeast"/>
          <w:jc w:val="center"/>
        </w:trPr>
        <w:tc>
          <w:tcPr>
            <w:tcW w:w="1162"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Theme="minorEastAsia" w:hAnsiTheme="minorEastAsia" w:eastAsiaTheme="minorEastAsia"/>
                <w:lang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5</w:t>
            </w:r>
          </w:p>
        </w:tc>
        <w:tc>
          <w:tcPr>
            <w:tcW w:w="7600"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heme="minorEastAsia" w:hAnsiTheme="minorEastAsia" w:eastAsiaTheme="minorEastAsia"/>
                <w:lang w:eastAsia="zh-CN"/>
              </w:rPr>
            </w:pPr>
            <w:r>
              <w:rPr>
                <w:rFonts w:hint="eastAsia" w:asciiTheme="minorEastAsia" w:hAnsiTheme="minorEastAsia" w:eastAsiaTheme="minorEastAsia"/>
                <w:lang w:eastAsia="zh-CN"/>
              </w:rPr>
              <w:t>投标截止时间：见投标邀请书</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624" w:hRule="atLeast"/>
          <w:jc w:val="center"/>
        </w:trPr>
        <w:tc>
          <w:tcPr>
            <w:tcW w:w="1162"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Theme="minorEastAsia" w:hAnsiTheme="minorEastAsia" w:eastAsiaTheme="minorEastAsia"/>
                <w:lang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6</w:t>
            </w:r>
          </w:p>
        </w:tc>
        <w:tc>
          <w:tcPr>
            <w:tcW w:w="7600"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heme="minorEastAsia" w:hAnsiTheme="minorEastAsia" w:eastAsiaTheme="minorEastAsia"/>
                <w:lang w:eastAsia="zh-CN"/>
              </w:rPr>
            </w:pPr>
            <w:r>
              <w:rPr>
                <w:rFonts w:hint="eastAsia" w:asciiTheme="minorEastAsia" w:hAnsiTheme="minorEastAsia" w:eastAsiaTheme="minorEastAsia"/>
                <w:lang w:eastAsia="zh-CN"/>
              </w:rPr>
              <w:t>开标时间、开标地点：见投标邀请书</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572" w:hRule="atLeast"/>
          <w:jc w:val="center"/>
        </w:trPr>
        <w:tc>
          <w:tcPr>
            <w:tcW w:w="1162"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Theme="minorEastAsia" w:hAnsiTheme="minorEastAsia" w:eastAsiaTheme="minorEastAsia"/>
                <w:lang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7</w:t>
            </w:r>
          </w:p>
        </w:tc>
        <w:tc>
          <w:tcPr>
            <w:tcW w:w="7600"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heme="minorEastAsia" w:hAnsiTheme="minorEastAsia" w:eastAsiaTheme="minorEastAsia"/>
                <w:lang w:eastAsia="zh-CN"/>
              </w:rPr>
            </w:pPr>
            <w:r>
              <w:rPr>
                <w:rFonts w:hint="eastAsia" w:asciiTheme="minorEastAsia" w:hAnsiTheme="minorEastAsia" w:eastAsiaTheme="minorEastAsia"/>
                <w:lang w:eastAsia="zh-CN"/>
              </w:rPr>
              <w:t>投标文件递交地点：见投标邀请书</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430" w:hRule="atLeast"/>
          <w:jc w:val="center"/>
        </w:trPr>
        <w:tc>
          <w:tcPr>
            <w:tcW w:w="8762" w:type="dxa"/>
            <w:gridSpan w:val="3"/>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b/>
                <w:bCs/>
              </w:rPr>
              <w:t>评   标</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600" w:hRule="atLeast"/>
          <w:jc w:val="center"/>
        </w:trPr>
        <w:tc>
          <w:tcPr>
            <w:tcW w:w="1162"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5.1</w:t>
            </w:r>
          </w:p>
        </w:tc>
        <w:tc>
          <w:tcPr>
            <w:tcW w:w="760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both"/>
              <w:textAlignment w:val="baseline"/>
              <w:rPr>
                <w:rFonts w:hint="eastAsia" w:ascii="宋体" w:hAnsi="宋体" w:cs="宋体"/>
                <w:szCs w:val="21"/>
                <w:lang w:val="en-US" w:eastAsia="zh-CN"/>
              </w:rPr>
            </w:pPr>
            <w:r>
              <w:rPr>
                <w:rFonts w:hint="eastAsia" w:asciiTheme="minorEastAsia" w:hAnsiTheme="minorEastAsia" w:eastAsiaTheme="minorEastAsia"/>
                <w:lang w:eastAsia="zh-CN"/>
              </w:rPr>
              <w:t>总分100分，其中报价1</w:t>
            </w:r>
            <w:r>
              <w:rPr>
                <w:rFonts w:hint="eastAsia" w:asciiTheme="minorEastAsia" w:hAnsiTheme="minorEastAsia" w:eastAsiaTheme="minorEastAsia"/>
                <w:lang w:val="en-US" w:eastAsia="zh-CN"/>
              </w:rPr>
              <w:t>0</w:t>
            </w:r>
            <w:r>
              <w:rPr>
                <w:rFonts w:hint="eastAsia" w:asciiTheme="minorEastAsia" w:hAnsiTheme="minorEastAsia" w:eastAsiaTheme="minorEastAsia"/>
                <w:lang w:eastAsia="zh-CN"/>
              </w:rPr>
              <w:t>分；</w:t>
            </w:r>
            <w:r>
              <w:rPr>
                <w:rFonts w:hint="eastAsia" w:ascii="宋体" w:hAnsi="宋体" w:cs="宋体"/>
                <w:szCs w:val="21"/>
              </w:rPr>
              <w:t>技术部分</w:t>
            </w:r>
            <w:r>
              <w:rPr>
                <w:rFonts w:ascii="宋体" w:hAnsi="宋体" w:cs="宋体"/>
                <w:szCs w:val="21"/>
              </w:rPr>
              <w:t>5</w:t>
            </w:r>
            <w:r>
              <w:rPr>
                <w:rFonts w:hint="eastAsia" w:ascii="宋体" w:hAnsi="宋体" w:cs="宋体"/>
                <w:szCs w:val="21"/>
              </w:rPr>
              <w:t>5分</w:t>
            </w:r>
            <w:r>
              <w:rPr>
                <w:rFonts w:hint="eastAsia" w:ascii="宋体" w:hAnsi="宋体" w:cs="宋体"/>
                <w:szCs w:val="21"/>
                <w:lang w:eastAsia="zh-CN"/>
              </w:rPr>
              <w:t>；</w:t>
            </w:r>
            <w:r>
              <w:rPr>
                <w:rFonts w:hint="eastAsia" w:ascii="宋体" w:hAnsi="宋体" w:cs="宋体"/>
                <w:szCs w:val="21"/>
                <w:lang w:val="en-US" w:eastAsia="zh-CN"/>
              </w:rPr>
              <w:t>商务部分35分</w:t>
            </w:r>
          </w:p>
          <w:p>
            <w:pPr>
              <w:adjustRightInd w:val="0"/>
              <w:snapToGrid w:val="0"/>
              <w:jc w:val="both"/>
              <w:textAlignment w:val="baseline"/>
              <w:rPr>
                <w:rFonts w:asciiTheme="minorEastAsia" w:hAnsiTheme="minorEastAsia" w:eastAsiaTheme="minorEastAsia"/>
                <w:lang w:eastAsia="zh-CN"/>
              </w:rPr>
            </w:pPr>
            <w:r>
              <w:rPr>
                <w:rFonts w:hint="eastAsia" w:asciiTheme="minorEastAsia" w:hAnsiTheme="minorEastAsia" w:eastAsiaTheme="minorEastAsia"/>
                <w:color w:val="auto"/>
                <w:lang w:eastAsia="zh-CN"/>
              </w:rPr>
              <w:t>（具体见第八章 评标标准与方法）</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580" w:hRule="atLeast"/>
          <w:jc w:val="center"/>
        </w:trPr>
        <w:tc>
          <w:tcPr>
            <w:tcW w:w="8762" w:type="dxa"/>
            <w:gridSpan w:val="3"/>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heme="minorEastAsia" w:hAnsiTheme="minorEastAsia" w:eastAsiaTheme="minorEastAsia"/>
                <w:b/>
                <w:bCs/>
              </w:rPr>
            </w:pPr>
            <w:r>
              <w:rPr>
                <w:rFonts w:hint="eastAsia" w:asciiTheme="minorEastAsia" w:hAnsiTheme="minorEastAsia" w:eastAsiaTheme="minorEastAsia"/>
                <w:b/>
                <w:bCs/>
              </w:rPr>
              <w:t>授  予  合   同</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463" w:hRule="atLeast"/>
          <w:jc w:val="center"/>
        </w:trPr>
        <w:tc>
          <w:tcPr>
            <w:tcW w:w="116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6.1</w:t>
            </w:r>
          </w:p>
        </w:tc>
        <w:tc>
          <w:tcPr>
            <w:tcW w:w="7600" w:type="dxa"/>
            <w:tcBorders>
              <w:top w:val="single" w:color="auto" w:sz="2" w:space="0"/>
              <w:left w:val="single" w:color="auto" w:sz="2" w:space="0"/>
              <w:bottom w:val="single" w:color="auto" w:sz="2" w:space="0"/>
              <w:right w:val="single" w:color="auto" w:sz="2" w:space="0"/>
            </w:tcBorders>
            <w:vAlign w:val="center"/>
          </w:tcPr>
          <w:p>
            <w:pPr>
              <w:spacing w:line="360" w:lineRule="auto"/>
              <w:jc w:val="both"/>
              <w:rPr>
                <w:rFonts w:asciiTheme="minorEastAsia" w:hAnsiTheme="minorEastAsia" w:eastAsiaTheme="minorEastAsia"/>
                <w:i/>
                <w:iCs/>
                <w:color w:val="auto"/>
                <w:lang w:eastAsia="zh-CN"/>
              </w:rPr>
            </w:pPr>
            <w:r>
              <w:rPr>
                <w:rFonts w:hint="eastAsia" w:asciiTheme="minorEastAsia" w:hAnsiTheme="minorEastAsia" w:eastAsiaTheme="minorEastAsia"/>
                <w:color w:val="auto"/>
                <w:lang w:eastAsia="zh-CN"/>
              </w:rPr>
              <w:t>按照方案授标。若执行期间方案发生变化,在授标方案中的材质单价的基础上双方进行协商。</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413" w:hRule="atLeast"/>
          <w:jc w:val="center"/>
        </w:trPr>
        <w:tc>
          <w:tcPr>
            <w:tcW w:w="116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heme="minorEastAsia" w:hAnsiTheme="minorEastAsia" w:eastAsiaTheme="minorEastAsia"/>
              </w:rPr>
            </w:pPr>
            <w:r>
              <w:rPr>
                <w:rFonts w:hint="eastAsia" w:asciiTheme="minorEastAsia" w:hAnsiTheme="minorEastAsia" w:eastAsiaTheme="minorEastAsia"/>
                <w:lang w:eastAsia="zh-CN"/>
              </w:rPr>
              <w:t>6.</w:t>
            </w:r>
            <w:r>
              <w:rPr>
                <w:rFonts w:hint="eastAsia" w:asciiTheme="minorEastAsia" w:hAnsiTheme="minorEastAsia" w:eastAsiaTheme="minorEastAsia"/>
                <w:lang w:val="en-US" w:eastAsia="zh-CN"/>
              </w:rPr>
              <w:t>2</w:t>
            </w:r>
          </w:p>
        </w:tc>
        <w:tc>
          <w:tcPr>
            <w:tcW w:w="7600" w:type="dxa"/>
            <w:tcBorders>
              <w:top w:val="single" w:color="auto" w:sz="2" w:space="0"/>
              <w:left w:val="single" w:color="auto" w:sz="2" w:space="0"/>
              <w:bottom w:val="single" w:color="auto" w:sz="2" w:space="0"/>
              <w:right w:val="single" w:color="auto" w:sz="2" w:space="0"/>
            </w:tcBorders>
            <w:vAlign w:val="center"/>
          </w:tcPr>
          <w:p>
            <w:pPr>
              <w:spacing w:line="336" w:lineRule="auto"/>
              <w:jc w:val="both"/>
              <w:rPr>
                <w:rFonts w:asciiTheme="minorEastAsia" w:hAnsiTheme="minorEastAsia" w:eastAsiaTheme="minorEastAsia"/>
                <w:lang w:eastAsia="zh-CN"/>
              </w:rPr>
            </w:pPr>
            <w:r>
              <w:rPr>
                <w:rFonts w:hint="eastAsia" w:cs="宋体" w:asciiTheme="minorEastAsia" w:hAnsiTheme="minorEastAsia" w:eastAsiaTheme="minorEastAsia"/>
                <w:color w:val="000000"/>
                <w:lang w:eastAsia="zh-CN"/>
              </w:rPr>
              <w:t>中标单位因其自身原因未能有效履行合同相关义务，或出现消极工作、违规违纪、发生安全事故等行为，给招标方造成损失或不利影响的，招标人有权根据自身评估结果终止合同、并要求赔偿。</w:t>
            </w:r>
          </w:p>
        </w:tc>
      </w:tr>
    </w:tbl>
    <w:p>
      <w:pPr>
        <w:rPr>
          <w:rFonts w:asciiTheme="minorEastAsia" w:hAnsiTheme="minorEastAsia" w:eastAsiaTheme="minorEastAsia"/>
          <w:lang w:eastAsia="zh-CN"/>
        </w:rPr>
        <w:sectPr>
          <w:headerReference r:id="rId10" w:type="default"/>
          <w:pgSz w:w="11906" w:h="16838"/>
          <w:pgMar w:top="1089" w:right="1599" w:bottom="1089" w:left="1599" w:header="851" w:footer="850" w:gutter="0"/>
          <w:pgNumType w:fmt="decimal"/>
          <w:cols w:space="0" w:num="1"/>
          <w:docGrid w:linePitch="312" w:charSpace="0"/>
        </w:sectPr>
      </w:pPr>
    </w:p>
    <w:p>
      <w:pPr>
        <w:keepNext/>
        <w:keepLines/>
        <w:tabs>
          <w:tab w:val="left" w:pos="2160"/>
        </w:tabs>
        <w:spacing w:before="340" w:after="330" w:line="360" w:lineRule="auto"/>
        <w:jc w:val="center"/>
        <w:outlineLvl w:val="0"/>
        <w:rPr>
          <w:rFonts w:asciiTheme="minorEastAsia" w:hAnsiTheme="minorEastAsia" w:eastAsiaTheme="minorEastAsia"/>
          <w:b/>
          <w:bCs/>
          <w:kern w:val="44"/>
          <w:lang w:eastAsia="zh-CN"/>
        </w:rPr>
      </w:pPr>
      <w:bookmarkStart w:id="56" w:name="_Toc465350683"/>
      <w:bookmarkStart w:id="57" w:name="_Toc2064"/>
      <w:bookmarkStart w:id="58" w:name="_Toc411245397"/>
      <w:r>
        <w:rPr>
          <w:rFonts w:hint="eastAsia" w:asciiTheme="minorEastAsia" w:hAnsiTheme="minorEastAsia" w:eastAsiaTheme="minorEastAsia"/>
          <w:b/>
          <w:bCs/>
          <w:kern w:val="44"/>
          <w:lang w:eastAsia="zh-CN"/>
        </w:rPr>
        <w:t>第三章  投标人须知</w:t>
      </w:r>
      <w:bookmarkEnd w:id="56"/>
      <w:bookmarkEnd w:id="57"/>
      <w:bookmarkEnd w:id="58"/>
    </w:p>
    <w:p>
      <w:pPr>
        <w:keepNext/>
        <w:keepLines/>
        <w:spacing w:before="260" w:after="260" w:line="360" w:lineRule="auto"/>
        <w:jc w:val="center"/>
        <w:outlineLvl w:val="1"/>
        <w:rPr>
          <w:rFonts w:cs="Arial" w:asciiTheme="minorEastAsia" w:hAnsiTheme="minorEastAsia" w:eastAsiaTheme="minorEastAsia"/>
          <w:b/>
          <w:bCs/>
          <w:w w:val="90"/>
          <w:lang w:eastAsia="zh-CN"/>
        </w:rPr>
      </w:pPr>
      <w:bookmarkStart w:id="59" w:name="_Toc47418237"/>
      <w:bookmarkStart w:id="60" w:name="_Toc47262051"/>
      <w:bookmarkStart w:id="61" w:name="_Toc465350684"/>
      <w:bookmarkStart w:id="62" w:name="_Toc48995833"/>
      <w:bookmarkStart w:id="63" w:name="_Toc47261672"/>
      <w:bookmarkStart w:id="64" w:name="_Toc236555293"/>
      <w:bookmarkStart w:id="65" w:name="_Toc47261867"/>
      <w:bookmarkStart w:id="66" w:name="_Toc47418713"/>
      <w:bookmarkStart w:id="67" w:name="_Toc48791217"/>
      <w:bookmarkStart w:id="68" w:name="_Toc319056975"/>
      <w:bookmarkStart w:id="69" w:name="_Toc47261052"/>
      <w:bookmarkStart w:id="70" w:name="_Toc99466902"/>
      <w:bookmarkStart w:id="71" w:name="_Toc23981"/>
      <w:bookmarkStart w:id="72" w:name="_Toc47418920"/>
      <w:bookmarkStart w:id="73" w:name="_Toc411245398"/>
      <w:bookmarkStart w:id="74" w:name="_Toc49019218"/>
      <w:r>
        <w:rPr>
          <w:rFonts w:hint="eastAsia" w:cs="Arial" w:asciiTheme="minorEastAsia" w:hAnsiTheme="minorEastAsia" w:eastAsiaTheme="minorEastAsia"/>
          <w:b/>
          <w:bCs/>
          <w:w w:val="90"/>
          <w:lang w:eastAsia="zh-CN"/>
        </w:rPr>
        <w:t>一、说  明</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1. 项目情况</w:t>
      </w:r>
    </w:p>
    <w:p>
      <w:pPr>
        <w:spacing w:line="360" w:lineRule="auto"/>
        <w:ind w:left="422" w:hanging="422" w:hangingChars="192"/>
        <w:rPr>
          <w:rFonts w:asciiTheme="minorEastAsia" w:hAnsiTheme="minorEastAsia" w:eastAsiaTheme="minorEastAsia"/>
          <w:lang w:eastAsia="zh-CN"/>
        </w:rPr>
      </w:pPr>
      <w:r>
        <w:rPr>
          <w:rFonts w:hint="eastAsia" w:asciiTheme="minorEastAsia" w:hAnsiTheme="minorEastAsia" w:eastAsiaTheme="minorEastAsia"/>
          <w:lang w:eastAsia="zh-CN"/>
        </w:rPr>
        <w:t>1.1招标内容</w:t>
      </w:r>
    </w:p>
    <w:p>
      <w:pPr>
        <w:spacing w:line="360" w:lineRule="auto"/>
        <w:ind w:left="424" w:hanging="424" w:hangingChars="192"/>
        <w:rPr>
          <w:rFonts w:asciiTheme="minorEastAsia" w:hAnsiTheme="minorEastAsia" w:eastAsiaTheme="minorEastAsia"/>
          <w:lang w:eastAsia="zh-CN"/>
        </w:rPr>
      </w:pPr>
      <w:r>
        <w:rPr>
          <w:rFonts w:hint="eastAsia" w:asciiTheme="minorEastAsia" w:hAnsiTheme="minorEastAsia" w:eastAsiaTheme="minorEastAsia"/>
          <w:b/>
          <w:bCs/>
          <w:lang w:eastAsia="zh-CN"/>
        </w:rPr>
        <w:t>见第六章</w:t>
      </w:r>
      <w:r>
        <w:rPr>
          <w:rFonts w:hint="eastAsia" w:asciiTheme="minorEastAsia" w:hAnsiTheme="minorEastAsia" w:eastAsiaTheme="minorEastAsia"/>
          <w:b/>
          <w:bCs/>
          <w:lang w:val="en-US" w:eastAsia="zh-CN"/>
        </w:rPr>
        <w:t>项目</w:t>
      </w:r>
      <w:r>
        <w:rPr>
          <w:rFonts w:hint="eastAsia" w:asciiTheme="minorEastAsia" w:hAnsiTheme="minorEastAsia" w:eastAsiaTheme="minorEastAsia"/>
          <w:b/>
          <w:bCs/>
          <w:lang w:eastAsia="zh-CN"/>
        </w:rPr>
        <w:t>清单及技术要求。</w:t>
      </w:r>
    </w:p>
    <w:p>
      <w:pPr>
        <w:spacing w:line="360" w:lineRule="auto"/>
        <w:ind w:left="422" w:hanging="422" w:hangingChars="192"/>
        <w:rPr>
          <w:rFonts w:asciiTheme="minorEastAsia" w:hAnsiTheme="minorEastAsia" w:eastAsiaTheme="minorEastAsia"/>
          <w:lang w:eastAsia="zh-CN"/>
        </w:rPr>
      </w:pPr>
      <w:r>
        <w:rPr>
          <w:rFonts w:hint="eastAsia" w:asciiTheme="minorEastAsia" w:hAnsiTheme="minorEastAsia" w:eastAsiaTheme="minorEastAsia"/>
          <w:lang w:eastAsia="zh-CN"/>
        </w:rPr>
        <w:t>1.2资金来源</w:t>
      </w:r>
    </w:p>
    <w:p>
      <w:pPr>
        <w:spacing w:line="360" w:lineRule="auto"/>
        <w:ind w:left="422" w:hanging="422" w:hangingChars="192"/>
        <w:rPr>
          <w:rFonts w:asciiTheme="minorEastAsia" w:hAnsiTheme="minorEastAsia" w:eastAsiaTheme="minorEastAsia"/>
          <w:lang w:eastAsia="zh-CN"/>
        </w:rPr>
      </w:pPr>
      <w:r>
        <w:rPr>
          <w:rFonts w:hint="eastAsia" w:asciiTheme="minorEastAsia" w:hAnsiTheme="minorEastAsia" w:eastAsiaTheme="minorEastAsia"/>
          <w:lang w:eastAsia="zh-CN"/>
        </w:rPr>
        <w:t xml:space="preserve">    自筹。</w:t>
      </w:r>
    </w:p>
    <w:p>
      <w:pPr>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2.</w:t>
      </w:r>
      <w:r>
        <w:rPr>
          <w:rFonts w:hint="eastAsia" w:asciiTheme="minorEastAsia" w:hAnsiTheme="minorEastAsia" w:eastAsiaTheme="minorEastAsia"/>
          <w:b/>
          <w:bCs/>
          <w:lang w:val="en-US" w:eastAsia="zh-CN"/>
        </w:rPr>
        <w:t xml:space="preserve"> </w:t>
      </w:r>
      <w:r>
        <w:rPr>
          <w:rFonts w:hint="eastAsia" w:asciiTheme="minorEastAsia" w:hAnsiTheme="minorEastAsia" w:eastAsiaTheme="minorEastAsia"/>
          <w:b/>
          <w:bCs/>
          <w:lang w:eastAsia="zh-CN"/>
        </w:rPr>
        <w:t>招标人及合格的投标人</w:t>
      </w:r>
    </w:p>
    <w:p>
      <w:pPr>
        <w:spacing w:line="360" w:lineRule="auto"/>
        <w:ind w:left="422" w:hanging="422" w:hangingChars="192"/>
        <w:rPr>
          <w:rFonts w:asciiTheme="minorEastAsia" w:hAnsiTheme="minorEastAsia" w:eastAsiaTheme="minorEastAsia"/>
          <w:lang w:eastAsia="zh-CN"/>
        </w:rPr>
      </w:pPr>
      <w:r>
        <w:rPr>
          <w:rFonts w:hint="eastAsia" w:asciiTheme="minorEastAsia" w:hAnsiTheme="minorEastAsia" w:eastAsiaTheme="minorEastAsia"/>
          <w:lang w:eastAsia="zh-CN"/>
        </w:rPr>
        <w:t>2.1 招标人：</w:t>
      </w:r>
      <w:r>
        <w:rPr>
          <w:rFonts w:hint="eastAsia" w:asciiTheme="minorEastAsia" w:hAnsiTheme="minorEastAsia" w:eastAsiaTheme="minorEastAsia"/>
          <w:lang w:val="en-US" w:eastAsia="zh-CN"/>
        </w:rPr>
        <w:t>厦门国际商会</w:t>
      </w:r>
      <w:r>
        <w:rPr>
          <w:rFonts w:hint="eastAsia" w:asciiTheme="minorEastAsia" w:hAnsiTheme="minorEastAsia" w:eastAsiaTheme="minorEastAsia"/>
          <w:lang w:eastAsia="zh-CN"/>
        </w:rPr>
        <w:t>。</w:t>
      </w:r>
    </w:p>
    <w:p>
      <w:pPr>
        <w:spacing w:line="360" w:lineRule="auto"/>
        <w:ind w:left="422" w:hanging="422" w:hangingChars="192"/>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t>合格的投标人</w:t>
      </w:r>
    </w:p>
    <w:p>
      <w:pPr>
        <w:tabs>
          <w:tab w:val="left" w:pos="1890"/>
        </w:tabs>
        <w:spacing w:line="360" w:lineRule="auto"/>
        <w:rPr>
          <w:rFonts w:hint="eastAsia" w:asciiTheme="minorEastAsia" w:hAnsiTheme="minorEastAsia" w:eastAsiaTheme="minorEastAsia"/>
          <w:kern w:val="24"/>
          <w:lang w:eastAsia="zh-CN"/>
        </w:rPr>
      </w:pPr>
      <w:r>
        <w:rPr>
          <w:rFonts w:hint="eastAsia" w:asciiTheme="minorEastAsia" w:hAnsiTheme="minorEastAsia" w:eastAsiaTheme="minorEastAsia"/>
          <w:kern w:val="24"/>
          <w:lang w:eastAsia="zh-CN"/>
        </w:rPr>
        <w:t>凡具备《中华人民共和国政府采购法》第二十二条第一款的条件、有能力提供本投标文件所述货物及服务的境内供货商或制造商均可能成为合格的供应商。供应商须提交以下有效证明文件：</w:t>
      </w:r>
    </w:p>
    <w:p>
      <w:pPr>
        <w:tabs>
          <w:tab w:val="left" w:pos="1890"/>
        </w:tabs>
        <w:spacing w:line="360" w:lineRule="auto"/>
        <w:rPr>
          <w:rFonts w:hint="eastAsia" w:asciiTheme="minorEastAsia" w:hAnsiTheme="minorEastAsia" w:eastAsiaTheme="minorEastAsia"/>
          <w:kern w:val="24"/>
          <w:lang w:eastAsia="zh-CN"/>
        </w:rPr>
      </w:pPr>
      <w:r>
        <w:rPr>
          <w:rFonts w:hint="eastAsia" w:asciiTheme="minorEastAsia" w:hAnsiTheme="minorEastAsia" w:eastAsiaTheme="minorEastAsia"/>
          <w:kern w:val="24"/>
          <w:lang w:eastAsia="zh-CN"/>
        </w:rPr>
        <w:t>（1）投标函。</w:t>
      </w:r>
    </w:p>
    <w:p>
      <w:pPr>
        <w:tabs>
          <w:tab w:val="left" w:pos="1890"/>
        </w:tabs>
        <w:spacing w:line="360" w:lineRule="auto"/>
        <w:rPr>
          <w:rFonts w:hint="eastAsia" w:asciiTheme="minorEastAsia" w:hAnsiTheme="minorEastAsia" w:eastAsiaTheme="minorEastAsia"/>
          <w:kern w:val="24"/>
          <w:lang w:eastAsia="zh-CN"/>
        </w:rPr>
      </w:pPr>
      <w:r>
        <w:rPr>
          <w:rFonts w:hint="eastAsia" w:asciiTheme="minorEastAsia" w:hAnsiTheme="minorEastAsia" w:eastAsiaTheme="minorEastAsia"/>
          <w:kern w:val="24"/>
          <w:lang w:eastAsia="zh-CN"/>
        </w:rPr>
        <w:t>（2）单位负责人授权书（法定代表人和投标代表人身份证复印件）。</w:t>
      </w:r>
    </w:p>
    <w:p>
      <w:pPr>
        <w:tabs>
          <w:tab w:val="left" w:pos="1890"/>
        </w:tabs>
        <w:spacing w:line="360" w:lineRule="auto"/>
        <w:rPr>
          <w:rFonts w:hint="eastAsia" w:asciiTheme="minorEastAsia" w:hAnsiTheme="minorEastAsia" w:eastAsiaTheme="minorEastAsia"/>
          <w:kern w:val="24"/>
          <w:lang w:eastAsia="zh-CN"/>
        </w:rPr>
      </w:pPr>
      <w:r>
        <w:rPr>
          <w:rFonts w:hint="eastAsia" w:asciiTheme="minorEastAsia" w:hAnsiTheme="minorEastAsia" w:eastAsiaTheme="minorEastAsia"/>
          <w:kern w:val="24"/>
          <w:lang w:eastAsia="zh-CN"/>
        </w:rPr>
        <w:t>（3）法人或者其他组织的营业执照等证明文件。</w:t>
      </w:r>
    </w:p>
    <w:p>
      <w:pPr>
        <w:tabs>
          <w:tab w:val="left" w:pos="1890"/>
        </w:tabs>
        <w:spacing w:line="360" w:lineRule="auto"/>
        <w:rPr>
          <w:rFonts w:hint="eastAsia" w:asciiTheme="minorEastAsia" w:hAnsiTheme="minorEastAsia" w:eastAsiaTheme="minorEastAsia"/>
          <w:kern w:val="24"/>
          <w:lang w:eastAsia="zh-CN"/>
        </w:rPr>
      </w:pPr>
      <w:r>
        <w:rPr>
          <w:rFonts w:hint="eastAsia" w:asciiTheme="minorEastAsia" w:hAnsiTheme="minorEastAsia" w:eastAsiaTheme="minorEastAsia"/>
          <w:kern w:val="24"/>
          <w:lang w:eastAsia="zh-CN"/>
        </w:rPr>
        <w:t>（4）提供上一年度或上一季度财务报告，至少包括“资产负债表、利润表、现金流量表”；或者提供开户许可证和投标截止时间前六个月内基本开户银行出具的资信证明；或者提供财政部门认可的政府采购专业担保机构出具的投标担保函。</w:t>
      </w:r>
    </w:p>
    <w:p>
      <w:pPr>
        <w:tabs>
          <w:tab w:val="left" w:pos="1890"/>
        </w:tabs>
        <w:spacing w:line="360" w:lineRule="auto"/>
        <w:rPr>
          <w:rFonts w:hint="eastAsia" w:asciiTheme="minorEastAsia" w:hAnsiTheme="minorEastAsia" w:eastAsiaTheme="minorEastAsia"/>
          <w:kern w:val="24"/>
          <w:lang w:eastAsia="zh-CN"/>
        </w:rPr>
      </w:pPr>
      <w:r>
        <w:rPr>
          <w:rFonts w:hint="eastAsia" w:asciiTheme="minorEastAsia" w:hAnsiTheme="minorEastAsia" w:eastAsiaTheme="minorEastAsia"/>
          <w:kern w:val="24"/>
          <w:lang w:eastAsia="zh-CN"/>
        </w:rPr>
        <w:t>（5）提供投标截止时间前六个月任一个月的依法缴纳税收的凭据；或者提供依法免税的相应证明文件。</w:t>
      </w:r>
    </w:p>
    <w:p>
      <w:pPr>
        <w:tabs>
          <w:tab w:val="left" w:pos="1890"/>
        </w:tabs>
        <w:spacing w:line="360" w:lineRule="auto"/>
        <w:rPr>
          <w:rFonts w:hint="eastAsia" w:asciiTheme="minorEastAsia" w:hAnsiTheme="minorEastAsia" w:eastAsiaTheme="minorEastAsia"/>
          <w:kern w:val="24"/>
          <w:lang w:eastAsia="zh-CN"/>
        </w:rPr>
      </w:pPr>
      <w:r>
        <w:rPr>
          <w:rFonts w:hint="eastAsia" w:asciiTheme="minorEastAsia" w:hAnsiTheme="minorEastAsia" w:eastAsiaTheme="minorEastAsia"/>
          <w:kern w:val="24"/>
          <w:lang w:eastAsia="zh-CN"/>
        </w:rPr>
        <w:t>（6）提供投标截止时间前六个月任一个月的依法缴纳社会保障资金的凭据；或者提供依法不需要缴纳社会保障资金的相应证明文件。</w:t>
      </w:r>
    </w:p>
    <w:p>
      <w:pPr>
        <w:tabs>
          <w:tab w:val="left" w:pos="1890"/>
        </w:tabs>
        <w:spacing w:line="360" w:lineRule="auto"/>
        <w:rPr>
          <w:rFonts w:hint="eastAsia" w:asciiTheme="minorEastAsia" w:hAnsiTheme="minorEastAsia" w:eastAsiaTheme="minorEastAsia"/>
          <w:kern w:val="24"/>
          <w:lang w:eastAsia="zh-CN"/>
        </w:rPr>
      </w:pPr>
      <w:r>
        <w:rPr>
          <w:rFonts w:hint="eastAsia" w:asciiTheme="minorEastAsia" w:hAnsiTheme="minorEastAsia" w:eastAsiaTheme="minorEastAsia"/>
          <w:kern w:val="24"/>
          <w:lang w:eastAsia="zh-CN"/>
        </w:rPr>
        <w:t>（7）具有履行合同所必需的设备和专业技术能力，投标公司必须具备 2019年至今已完成单场 5万平米及以上展览面积的展会主场及氛围项目服务经验。</w:t>
      </w:r>
    </w:p>
    <w:p>
      <w:pPr>
        <w:tabs>
          <w:tab w:val="left" w:pos="1890"/>
        </w:tabs>
        <w:spacing w:line="360" w:lineRule="auto"/>
        <w:rPr>
          <w:rFonts w:hint="eastAsia" w:asciiTheme="minorEastAsia" w:hAnsiTheme="minorEastAsia" w:eastAsiaTheme="minorEastAsia"/>
          <w:kern w:val="24"/>
          <w:lang w:eastAsia="zh-CN"/>
        </w:rPr>
      </w:pPr>
      <w:r>
        <w:rPr>
          <w:rFonts w:hint="eastAsia" w:asciiTheme="minorEastAsia" w:hAnsiTheme="minorEastAsia" w:eastAsiaTheme="minorEastAsia"/>
          <w:kern w:val="24"/>
          <w:lang w:eastAsia="zh-CN"/>
        </w:rPr>
        <w:t>（8）单位负责人为同一人或者存在控股、管理关系的不同单位，不得参加同一标段或者未划分标段的同一招标项目投标</w:t>
      </w:r>
    </w:p>
    <w:p>
      <w:pPr>
        <w:tabs>
          <w:tab w:val="left" w:pos="1890"/>
        </w:tabs>
        <w:spacing w:line="360" w:lineRule="auto"/>
        <w:rPr>
          <w:rFonts w:hint="eastAsia" w:asciiTheme="minorEastAsia" w:hAnsiTheme="minorEastAsia" w:eastAsiaTheme="minorEastAsia"/>
          <w:kern w:val="24"/>
          <w:lang w:eastAsia="zh-CN"/>
        </w:rPr>
      </w:pPr>
      <w:r>
        <w:rPr>
          <w:rFonts w:hint="eastAsia" w:asciiTheme="minorEastAsia" w:hAnsiTheme="minorEastAsia" w:eastAsiaTheme="minorEastAsia"/>
          <w:kern w:val="24"/>
          <w:lang w:eastAsia="zh-CN"/>
        </w:rPr>
        <w:t>（9）本次招标不接受联合体投标。</w:t>
      </w:r>
    </w:p>
    <w:p>
      <w:pPr>
        <w:tabs>
          <w:tab w:val="left" w:pos="1890"/>
        </w:tabs>
        <w:spacing w:line="360" w:lineRule="auto"/>
        <w:rPr>
          <w:rFonts w:hint="eastAsia" w:asciiTheme="minorEastAsia" w:hAnsiTheme="minorEastAsia" w:eastAsiaTheme="minorEastAsia"/>
          <w:kern w:val="24"/>
          <w:lang w:eastAsia="zh-CN"/>
        </w:rPr>
      </w:pPr>
      <w:r>
        <w:rPr>
          <w:rFonts w:hint="eastAsia" w:asciiTheme="minorEastAsia" w:hAnsiTheme="minorEastAsia" w:eastAsiaTheme="minorEastAsia"/>
          <w:kern w:val="24"/>
          <w:lang w:eastAsia="zh-CN"/>
        </w:rPr>
        <w:t>以上所有资格证明文件必须同时满足，若有一项审核未通过视为没有实质性响应招标文件要求，按无效投标处理。提供的所有资格类文件资料应是有效、清晰。复印件加盖投标人公章，否则无效，原件备查。评标委员会对投标人所提供的资格类文件仅负审核责任。即使投标人所提交的资格类文件通过了审核，在评标过程中乃至确定中标人后，如发现投标人所提供的资格类文件不合法或不真实，仍可废除中标人中标资格并追究其法律责任。</w:t>
      </w:r>
    </w:p>
    <w:p>
      <w:pPr>
        <w:tabs>
          <w:tab w:val="left" w:pos="1890"/>
        </w:tabs>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3.合格的服务</w:t>
      </w:r>
    </w:p>
    <w:p>
      <w:pPr>
        <w:numPr>
          <w:ilvl w:val="2"/>
          <w:numId w:val="3"/>
        </w:num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合同中提供的所有有关服务，均应来自上述2.</w:t>
      </w: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t>条款所规定的合格投标人。</w:t>
      </w:r>
    </w:p>
    <w:p>
      <w:pPr>
        <w:tabs>
          <w:tab w:val="left" w:pos="1890"/>
        </w:tabs>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4.投标费用</w:t>
      </w:r>
    </w:p>
    <w:p>
      <w:pPr>
        <w:spacing w:line="360" w:lineRule="auto"/>
        <w:ind w:left="440" w:hanging="440" w:hangingChars="200"/>
        <w:rPr>
          <w:rFonts w:asciiTheme="minorEastAsia" w:hAnsiTheme="minorEastAsia" w:eastAsiaTheme="minorEastAsia"/>
          <w:lang w:eastAsia="zh-CN"/>
        </w:rPr>
      </w:pPr>
      <w:r>
        <w:rPr>
          <w:rFonts w:hint="eastAsia" w:asciiTheme="minorEastAsia" w:hAnsiTheme="minorEastAsia" w:eastAsiaTheme="minorEastAsia"/>
          <w:lang w:eastAsia="zh-CN"/>
        </w:rPr>
        <w:t>4.1 投标人应承担所有与准备和参加投标有关的费用。不论投标的结果如何，招标方均无义务和责任承担这些费用。</w:t>
      </w:r>
    </w:p>
    <w:p>
      <w:pPr>
        <w:keepNext/>
        <w:keepLines/>
        <w:spacing w:before="260" w:after="260" w:line="360" w:lineRule="auto"/>
        <w:jc w:val="center"/>
        <w:outlineLvl w:val="1"/>
        <w:rPr>
          <w:rFonts w:cs="Arial" w:asciiTheme="minorEastAsia" w:hAnsiTheme="minorEastAsia" w:eastAsiaTheme="minorEastAsia"/>
          <w:b/>
          <w:bCs/>
          <w:w w:val="90"/>
          <w:lang w:eastAsia="zh-CN"/>
        </w:rPr>
      </w:pPr>
      <w:bookmarkStart w:id="75" w:name="_Toc47418921"/>
      <w:bookmarkStart w:id="76" w:name="_Toc47418714"/>
      <w:bookmarkStart w:id="77" w:name="_Toc465350685"/>
      <w:bookmarkStart w:id="78" w:name="_Toc236555294"/>
      <w:bookmarkStart w:id="79" w:name="_Toc49019219"/>
      <w:bookmarkStart w:id="80" w:name="_Toc47262052"/>
      <w:bookmarkStart w:id="81" w:name="_Toc319056976"/>
      <w:bookmarkStart w:id="82" w:name="_Toc47261673"/>
      <w:bookmarkStart w:id="83" w:name="_Toc47261868"/>
      <w:bookmarkStart w:id="84" w:name="_Toc99466903"/>
      <w:bookmarkStart w:id="85" w:name="_Toc2458"/>
      <w:bookmarkStart w:id="86" w:name="_Toc411245399"/>
      <w:bookmarkStart w:id="87" w:name="_Toc47418238"/>
      <w:bookmarkStart w:id="88" w:name="_Toc48995834"/>
      <w:bookmarkStart w:id="89" w:name="_Toc47261053"/>
      <w:bookmarkStart w:id="90" w:name="_Toc48791218"/>
      <w:r>
        <w:rPr>
          <w:rFonts w:hint="eastAsia" w:cs="Arial" w:asciiTheme="minorEastAsia" w:hAnsiTheme="minorEastAsia" w:eastAsiaTheme="minorEastAsia"/>
          <w:b/>
          <w:bCs/>
          <w:w w:val="90"/>
          <w:lang w:eastAsia="zh-CN"/>
        </w:rPr>
        <w:t>二、招标文件</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5.招标文件构成</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5.1 招标文件包括下列内容：</w:t>
      </w:r>
    </w:p>
    <w:p>
      <w:pPr>
        <w:spacing w:line="360" w:lineRule="auto"/>
        <w:ind w:left="0" w:leftChars="0"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第一章 投标邀请书</w:t>
      </w:r>
    </w:p>
    <w:p>
      <w:pPr>
        <w:spacing w:line="360" w:lineRule="auto"/>
        <w:ind w:left="0" w:leftChars="0"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第二章 投标人须知前附表</w:t>
      </w:r>
    </w:p>
    <w:p>
      <w:pPr>
        <w:spacing w:line="360" w:lineRule="auto"/>
        <w:ind w:left="0" w:leftChars="0"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第三章 投标人须知</w:t>
      </w:r>
    </w:p>
    <w:p>
      <w:pPr>
        <w:spacing w:line="360" w:lineRule="auto"/>
        <w:ind w:left="0" w:leftChars="0"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第四章 合同专用条款</w:t>
      </w:r>
    </w:p>
    <w:p>
      <w:pPr>
        <w:spacing w:line="360" w:lineRule="auto"/>
        <w:ind w:left="0" w:leftChars="0"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第五章 合同通用条款</w:t>
      </w:r>
    </w:p>
    <w:p>
      <w:pPr>
        <w:spacing w:line="360" w:lineRule="auto"/>
        <w:ind w:left="0" w:leftChars="0"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第六章 技术要求</w:t>
      </w:r>
    </w:p>
    <w:p>
      <w:pPr>
        <w:spacing w:line="360" w:lineRule="auto"/>
        <w:ind w:left="0" w:leftChars="0"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第七章 附件（投标文件格式）</w:t>
      </w:r>
    </w:p>
    <w:p>
      <w:pPr>
        <w:spacing w:line="360" w:lineRule="auto"/>
        <w:ind w:left="0" w:leftChars="0"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第八章 评标标准与方法</w:t>
      </w:r>
    </w:p>
    <w:p>
      <w:pPr>
        <w:tabs>
          <w:tab w:val="left" w:pos="1890"/>
        </w:tabs>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6.招标文件的澄清</w:t>
      </w:r>
    </w:p>
    <w:p>
      <w:pPr>
        <w:spacing w:line="360" w:lineRule="auto"/>
        <w:ind w:left="565" w:hanging="565" w:hangingChars="257"/>
        <w:rPr>
          <w:rFonts w:asciiTheme="minorEastAsia" w:hAnsiTheme="minorEastAsia" w:eastAsiaTheme="minorEastAsia"/>
          <w:lang w:eastAsia="zh-CN"/>
        </w:rPr>
      </w:pPr>
      <w:r>
        <w:rPr>
          <w:rFonts w:hint="eastAsia" w:asciiTheme="minorEastAsia" w:hAnsiTheme="minorEastAsia" w:eastAsiaTheme="minorEastAsia"/>
          <w:lang w:eastAsia="zh-CN"/>
        </w:rPr>
        <w:t>6.1  投标人对招标文件如有疑点要求澄清，应在投标截至</w:t>
      </w:r>
      <w:r>
        <w:rPr>
          <w:rFonts w:hint="eastAsia" w:asciiTheme="minorEastAsia" w:hAnsiTheme="minorEastAsia" w:eastAsiaTheme="minorEastAsia"/>
          <w:lang w:val="en-US" w:eastAsia="zh-CN"/>
        </w:rPr>
        <w:t>5个工作</w:t>
      </w:r>
      <w:r>
        <w:rPr>
          <w:rFonts w:hint="eastAsia" w:asciiTheme="minorEastAsia" w:hAnsiTheme="minorEastAsia" w:eastAsiaTheme="minorEastAsia"/>
          <w:lang w:eastAsia="zh-CN"/>
        </w:rPr>
        <w:t>日前以书面形式发送至招标</w:t>
      </w:r>
      <w:r>
        <w:rPr>
          <w:rFonts w:hint="eastAsia" w:asciiTheme="minorEastAsia" w:hAnsiTheme="minorEastAsia" w:eastAsiaTheme="minorEastAsia"/>
          <w:lang w:val="en-US" w:eastAsia="zh-CN"/>
        </w:rPr>
        <w:t>方</w:t>
      </w:r>
      <w:r>
        <w:rPr>
          <w:rFonts w:hint="eastAsia" w:asciiTheme="minorEastAsia" w:hAnsiTheme="minorEastAsia" w:eastAsiaTheme="minorEastAsia"/>
          <w:lang w:eastAsia="zh-CN"/>
        </w:rPr>
        <w:t>，招标</w:t>
      </w:r>
      <w:r>
        <w:rPr>
          <w:rFonts w:hint="eastAsia" w:asciiTheme="minorEastAsia" w:hAnsiTheme="minorEastAsia" w:eastAsiaTheme="minorEastAsia"/>
          <w:lang w:val="en-US" w:eastAsia="zh-CN"/>
        </w:rPr>
        <w:t>方</w:t>
      </w:r>
      <w:r>
        <w:rPr>
          <w:rFonts w:hint="eastAsia" w:asciiTheme="minorEastAsia" w:hAnsiTheme="minorEastAsia" w:eastAsiaTheme="minorEastAsia"/>
          <w:lang w:eastAsia="zh-CN"/>
        </w:rPr>
        <w:t>对投标人的澄清要求均以书面形式投标截至</w:t>
      </w:r>
      <w:r>
        <w:rPr>
          <w:rFonts w:hint="eastAsia" w:asciiTheme="minorEastAsia" w:hAnsiTheme="minorEastAsia" w:eastAsiaTheme="minorEastAsia"/>
          <w:lang w:val="en-US" w:eastAsia="zh-CN"/>
        </w:rPr>
        <w:t>3个工作</w:t>
      </w:r>
      <w:r>
        <w:rPr>
          <w:rFonts w:hint="eastAsia" w:asciiTheme="minorEastAsia" w:hAnsiTheme="minorEastAsia" w:eastAsiaTheme="minorEastAsia"/>
          <w:lang w:eastAsia="zh-CN"/>
        </w:rPr>
        <w:t>日前予以答复，同时将书面答复在投标截至</w:t>
      </w:r>
      <w:r>
        <w:rPr>
          <w:rFonts w:hint="eastAsia" w:asciiTheme="minorEastAsia" w:hAnsiTheme="minorEastAsia" w:eastAsiaTheme="minorEastAsia"/>
          <w:lang w:val="en-US" w:eastAsia="zh-CN"/>
        </w:rPr>
        <w:t>3个工作日</w:t>
      </w:r>
      <w:r>
        <w:rPr>
          <w:rFonts w:hint="eastAsia" w:asciiTheme="minorEastAsia" w:hAnsiTheme="minorEastAsia" w:eastAsiaTheme="minorEastAsia"/>
          <w:lang w:eastAsia="zh-CN"/>
        </w:rPr>
        <w:t>前发给每个</w:t>
      </w:r>
      <w:r>
        <w:rPr>
          <w:rFonts w:hint="eastAsia" w:asciiTheme="minorEastAsia" w:hAnsiTheme="minorEastAsia" w:eastAsiaTheme="minorEastAsia"/>
          <w:lang w:val="en-US" w:eastAsia="zh-CN"/>
        </w:rPr>
        <w:t>报名获取</w:t>
      </w:r>
      <w:r>
        <w:rPr>
          <w:rFonts w:hint="eastAsia" w:asciiTheme="minorEastAsia" w:hAnsiTheme="minorEastAsia" w:eastAsiaTheme="minorEastAsia"/>
          <w:lang w:eastAsia="zh-CN"/>
        </w:rPr>
        <w:t>招标文件的投标人（答复中不包括问题的来源）。</w:t>
      </w:r>
    </w:p>
    <w:p>
      <w:pPr>
        <w:spacing w:line="360" w:lineRule="auto"/>
        <w:ind w:left="565" w:hanging="565" w:hangingChars="257"/>
        <w:rPr>
          <w:rFonts w:asciiTheme="minorEastAsia" w:hAnsiTheme="minorEastAsia" w:eastAsiaTheme="minorEastAsia"/>
          <w:lang w:eastAsia="zh-CN"/>
        </w:rPr>
      </w:pPr>
      <w:r>
        <w:rPr>
          <w:rFonts w:hint="eastAsia" w:asciiTheme="minorEastAsia" w:hAnsiTheme="minorEastAsia" w:eastAsiaTheme="minorEastAsia"/>
          <w:lang w:eastAsia="zh-CN"/>
        </w:rPr>
        <w:t>6.2  投标人或者其他利害关系人认为招标投标活动不符合法律、行政法规规定的，须在投标截止时间</w:t>
      </w:r>
      <w:r>
        <w:rPr>
          <w:rFonts w:hint="eastAsia" w:asciiTheme="minorEastAsia" w:hAnsiTheme="minorEastAsia" w:eastAsiaTheme="minorEastAsia"/>
          <w:lang w:val="en-US" w:eastAsia="zh-CN"/>
        </w:rPr>
        <w:t>5个工作</w:t>
      </w:r>
      <w:r>
        <w:rPr>
          <w:rFonts w:hint="eastAsia" w:asciiTheme="minorEastAsia" w:hAnsiTheme="minorEastAsia" w:eastAsiaTheme="minorEastAsia"/>
          <w:lang w:eastAsia="zh-CN"/>
        </w:rPr>
        <w:t>日前以“异议”的形式提出。</w:t>
      </w:r>
    </w:p>
    <w:p>
      <w:pPr>
        <w:tabs>
          <w:tab w:val="left" w:pos="1890"/>
        </w:tabs>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7. 招标文件的修改</w:t>
      </w:r>
    </w:p>
    <w:p>
      <w:pPr>
        <w:spacing w:line="360" w:lineRule="auto"/>
        <w:ind w:left="440" w:hanging="440" w:hangingChars="200"/>
        <w:rPr>
          <w:rFonts w:asciiTheme="minorEastAsia" w:hAnsiTheme="minorEastAsia" w:eastAsiaTheme="minorEastAsia"/>
          <w:lang w:eastAsia="zh-CN"/>
        </w:rPr>
      </w:pPr>
      <w:r>
        <w:rPr>
          <w:rFonts w:hint="eastAsia" w:asciiTheme="minorEastAsia" w:hAnsiTheme="minorEastAsia" w:eastAsiaTheme="minorEastAsia"/>
          <w:lang w:eastAsia="zh-CN"/>
        </w:rPr>
        <w:t>7.1 在投标截止期前的任何时候，无论出于何种原因，招标</w:t>
      </w:r>
      <w:r>
        <w:rPr>
          <w:rFonts w:hint="eastAsia" w:asciiTheme="minorEastAsia" w:hAnsiTheme="minorEastAsia" w:eastAsiaTheme="minorEastAsia"/>
          <w:lang w:val="en-US" w:eastAsia="zh-CN"/>
        </w:rPr>
        <w:t>方</w:t>
      </w:r>
      <w:r>
        <w:rPr>
          <w:rFonts w:hint="eastAsia" w:asciiTheme="minorEastAsia" w:hAnsiTheme="minorEastAsia" w:eastAsiaTheme="minorEastAsia"/>
          <w:lang w:eastAsia="zh-CN"/>
        </w:rPr>
        <w:t>可主动地或在解答投标人提出的澄清问题时对招标文件进行修改，修改的内容为招标文件的组成部分，如果与先发的文件有矛盾，以最后所发文件为准。</w:t>
      </w:r>
    </w:p>
    <w:p>
      <w:pPr>
        <w:spacing w:line="360" w:lineRule="auto"/>
        <w:ind w:left="440" w:hanging="440" w:hangingChars="200"/>
        <w:rPr>
          <w:rFonts w:asciiTheme="minorEastAsia" w:hAnsiTheme="minorEastAsia" w:eastAsiaTheme="minorEastAsia"/>
          <w:lang w:eastAsia="zh-CN"/>
        </w:rPr>
      </w:pPr>
      <w:r>
        <w:rPr>
          <w:rFonts w:hint="eastAsia" w:asciiTheme="minorEastAsia" w:hAnsiTheme="minorEastAsia" w:eastAsiaTheme="minorEastAsia"/>
          <w:lang w:eastAsia="zh-CN"/>
        </w:rPr>
        <w:t>7.2 招标文件的修改将以书面形式通知所有</w:t>
      </w:r>
      <w:r>
        <w:rPr>
          <w:rFonts w:hint="eastAsia" w:asciiTheme="minorEastAsia" w:hAnsiTheme="minorEastAsia" w:eastAsiaTheme="minorEastAsia"/>
          <w:lang w:val="en-US" w:eastAsia="zh-CN"/>
        </w:rPr>
        <w:t>报名获取</w:t>
      </w:r>
      <w:r>
        <w:rPr>
          <w:rFonts w:hint="eastAsia" w:asciiTheme="minorEastAsia" w:hAnsiTheme="minorEastAsia" w:eastAsiaTheme="minorEastAsia"/>
          <w:lang w:eastAsia="zh-CN"/>
        </w:rPr>
        <w:t>招标文件的投标人，并对其具有约束力。投标人在收到上述通知后，应立即向招标</w:t>
      </w:r>
      <w:r>
        <w:rPr>
          <w:rFonts w:hint="eastAsia" w:asciiTheme="minorEastAsia" w:hAnsiTheme="minorEastAsia" w:eastAsiaTheme="minorEastAsia"/>
          <w:lang w:val="en-US" w:eastAsia="zh-CN"/>
        </w:rPr>
        <w:t>方</w:t>
      </w:r>
      <w:r>
        <w:rPr>
          <w:rFonts w:hint="eastAsia" w:asciiTheme="minorEastAsia" w:hAnsiTheme="minorEastAsia" w:eastAsiaTheme="minorEastAsia"/>
          <w:lang w:eastAsia="zh-CN"/>
        </w:rPr>
        <w:t>回函确认。</w:t>
      </w:r>
    </w:p>
    <w:p>
      <w:pPr>
        <w:spacing w:line="360" w:lineRule="auto"/>
        <w:ind w:left="440" w:hanging="440" w:hangingChars="200"/>
        <w:rPr>
          <w:rFonts w:asciiTheme="minorEastAsia" w:hAnsiTheme="minorEastAsia" w:eastAsiaTheme="minorEastAsia"/>
          <w:lang w:eastAsia="zh-CN"/>
        </w:rPr>
      </w:pPr>
      <w:r>
        <w:rPr>
          <w:rFonts w:hint="eastAsia" w:asciiTheme="minorEastAsia" w:hAnsiTheme="minorEastAsia" w:eastAsiaTheme="minorEastAsia"/>
          <w:lang w:eastAsia="zh-CN"/>
        </w:rPr>
        <w:t>7.3 为使投标人准备投标时有充分时间对招标文件的修改部分进行研究，招标机构可适当延长投标截止期。并以书面形式通知所有购买招标文件的投标人。</w:t>
      </w:r>
    </w:p>
    <w:p>
      <w:pPr>
        <w:spacing w:line="360" w:lineRule="auto"/>
        <w:rPr>
          <w:rFonts w:asciiTheme="minorEastAsia" w:hAnsiTheme="minorEastAsia" w:eastAsiaTheme="minorEastAsia"/>
          <w:lang w:eastAsia="zh-CN"/>
        </w:rPr>
      </w:pPr>
    </w:p>
    <w:p>
      <w:pPr>
        <w:keepNext/>
        <w:keepLines/>
        <w:tabs>
          <w:tab w:val="left" w:pos="1050"/>
        </w:tabs>
        <w:spacing w:before="260" w:after="260" w:line="360" w:lineRule="auto"/>
        <w:jc w:val="center"/>
        <w:outlineLvl w:val="1"/>
        <w:rPr>
          <w:rFonts w:cs="Arial" w:asciiTheme="minorEastAsia" w:hAnsiTheme="minorEastAsia" w:eastAsiaTheme="minorEastAsia"/>
          <w:b/>
          <w:bCs/>
          <w:w w:val="90"/>
          <w:lang w:eastAsia="zh-CN"/>
        </w:rPr>
      </w:pPr>
      <w:bookmarkStart w:id="91" w:name="_Toc47418922"/>
      <w:bookmarkStart w:id="92" w:name="_Toc236555295"/>
      <w:bookmarkStart w:id="93" w:name="_Toc47262053"/>
      <w:bookmarkStart w:id="94" w:name="_Toc411245400"/>
      <w:bookmarkStart w:id="95" w:name="_Toc48995835"/>
      <w:bookmarkStart w:id="96" w:name="_Toc48791219"/>
      <w:bookmarkStart w:id="97" w:name="_Toc49019220"/>
      <w:bookmarkStart w:id="98" w:name="_Toc47261054"/>
      <w:bookmarkStart w:id="99" w:name="_Toc47261869"/>
      <w:bookmarkStart w:id="100" w:name="_Toc47261674"/>
      <w:bookmarkStart w:id="101" w:name="_Toc47418715"/>
      <w:bookmarkStart w:id="102" w:name="_Toc5360"/>
      <w:bookmarkStart w:id="103" w:name="_Toc465350686"/>
      <w:bookmarkStart w:id="104" w:name="_Toc99466904"/>
      <w:bookmarkStart w:id="105" w:name="_Toc47418239"/>
      <w:bookmarkStart w:id="106" w:name="_Toc319056977"/>
      <w:r>
        <w:rPr>
          <w:rFonts w:hint="eastAsia" w:cs="Arial" w:asciiTheme="minorEastAsia" w:hAnsiTheme="minorEastAsia" w:eastAsiaTheme="minorEastAsia"/>
          <w:b/>
          <w:bCs/>
          <w:w w:val="90"/>
          <w:lang w:eastAsia="zh-CN"/>
        </w:rPr>
        <w:t>三、投标文件的编制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8. 编制要求</w:t>
      </w:r>
    </w:p>
    <w:p>
      <w:pPr>
        <w:tabs>
          <w:tab w:val="left" w:pos="420"/>
        </w:tabs>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8.1投标人应认真阅读招标文件的所有内容，按招标文件的要求提供投标文件，并保证提供的全部资料的真实性，以使其投标对招标文件作出实质性响应，否则，其投标将被拒绝。</w:t>
      </w:r>
    </w:p>
    <w:p>
      <w:pPr>
        <w:tabs>
          <w:tab w:val="left" w:pos="420"/>
        </w:tabs>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8.2投标的语言</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投标人提交的投标文件以及投标人与招标机构就有关投标的所有来往函电均应以中文书写。</w:t>
      </w:r>
    </w:p>
    <w:p>
      <w:pPr>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9.投标文件构成</w:t>
      </w:r>
    </w:p>
    <w:p>
      <w:pPr>
        <w:spacing w:line="360" w:lineRule="auto"/>
        <w:ind w:firstLine="220" w:firstLineChars="100"/>
        <w:rPr>
          <w:rFonts w:asciiTheme="minorEastAsia" w:hAnsiTheme="minorEastAsia" w:eastAsiaTheme="minorEastAsia"/>
          <w:lang w:eastAsia="zh-CN"/>
        </w:rPr>
      </w:pPr>
      <w:r>
        <w:rPr>
          <w:rFonts w:hint="eastAsia" w:asciiTheme="minorEastAsia" w:hAnsiTheme="minorEastAsia" w:eastAsiaTheme="minorEastAsia"/>
          <w:lang w:eastAsia="zh-CN"/>
        </w:rPr>
        <w:t>投标人编写的投标文件应包括下列部分：</w:t>
      </w:r>
    </w:p>
    <w:p>
      <w:pPr>
        <w:spacing w:line="360" w:lineRule="auto"/>
        <w:ind w:left="1365"/>
        <w:rPr>
          <w:rFonts w:asciiTheme="minorEastAsia" w:hAnsiTheme="minorEastAsia" w:eastAsiaTheme="minorEastAsia"/>
          <w:lang w:eastAsia="zh-CN"/>
        </w:rPr>
      </w:pPr>
      <w:r>
        <w:rPr>
          <w:rFonts w:asciiTheme="minorEastAsia" w:hAnsiTheme="minorEastAsia" w:eastAsiaTheme="minorEastAsia"/>
          <w:lang w:eastAsia="zh-CN" w:bidi="ar-SA"/>
        </w:rPr>
        <mc:AlternateContent>
          <mc:Choice Requires="wps">
            <w:drawing>
              <wp:anchor distT="0" distB="0" distL="114300" distR="114300" simplePos="0" relativeHeight="251665408" behindDoc="0" locked="0" layoutInCell="0" allowOverlap="1">
                <wp:simplePos x="0" y="0"/>
                <wp:positionH relativeFrom="column">
                  <wp:posOffset>2283460</wp:posOffset>
                </wp:positionH>
                <wp:positionV relativeFrom="line">
                  <wp:posOffset>67310</wp:posOffset>
                </wp:positionV>
                <wp:extent cx="117475" cy="604520"/>
                <wp:effectExtent l="0" t="0" r="0" b="0"/>
                <wp:wrapNone/>
                <wp:docPr id="5" name="AutoShape 5"/>
                <wp:cNvGraphicFramePr/>
                <a:graphic xmlns:a="http://schemas.openxmlformats.org/drawingml/2006/main">
                  <a:graphicData uri="http://schemas.microsoft.com/office/word/2010/wordprocessingShape">
                    <wps:wsp>
                      <wps:cNvSpPr/>
                      <wps:spPr>
                        <a:xfrm>
                          <a:off x="0" y="0"/>
                          <a:ext cx="117475" cy="604520"/>
                        </a:xfrm>
                        <a:prstGeom prst="rightBrace">
                          <a:avLst>
                            <a:gd name="adj1" fmla="val 42882"/>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AutoShape 5" o:spid="_x0000_s1026" o:spt="88" type="#_x0000_t88" style="position:absolute;left:0pt;margin-left:179.8pt;margin-top:5.3pt;height:47.6pt;width:9.25pt;mso-position-vertical-relative:line;z-index:251665408;mso-width-relative:page;mso-height-relative:page;" filled="f" stroked="t" coordsize="21600,21600" o:allowincell="f" o:gfxdata="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vciFNkAAAAKAQAADwAAAAAAAAABACAAAAAi&#10;AAAAZHJzL2Rvd25yZXYueG1sUEsBAhQAFAAAAAgAh07iQHf8BOQJAgAARAQAAA4AAAAAAAAAAQAg&#10;AAAAKAEAAGRycy9lMm9Eb2MueG1sUEsFBgAAAAAGAAYAWQEAAKMFAAAAAA==&#10;" adj="1799,10800">
                <v:fill on="f" focussize="0,0"/>
                <v:stroke color="#000000" joinstyle="round"/>
                <v:imagedata o:title=""/>
                <o:lock v:ext="edit" aspectratio="f"/>
              </v:shape>
            </w:pict>
          </mc:Fallback>
        </mc:AlternateContent>
      </w:r>
      <w:r>
        <w:rPr>
          <w:rFonts w:asciiTheme="minorEastAsia" w:hAnsiTheme="minorEastAsia" w:eastAsiaTheme="minorEastAsia"/>
          <w:lang w:eastAsia="zh-CN" w:bidi="ar-SA"/>
        </w:rPr>
        <mc:AlternateContent>
          <mc:Choice Requires="wps">
            <w:drawing>
              <wp:anchor distT="0" distB="0" distL="114300" distR="114300" simplePos="0" relativeHeight="25166336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AutoShape 6" hidden="1"/>
                <wp:cNvGraphicFramePr/>
                <a:graphic xmlns:a="http://schemas.openxmlformats.org/drawingml/2006/main">
                  <a:graphicData uri="http://schemas.microsoft.com/office/word/2010/wordprocessingShape">
                    <wps:wsp>
                      <wps:cNvSpPr/>
                      <wps:spPr>
                        <a:xfrm>
                          <a:off x="0" y="0"/>
                          <a:ext cx="635000" cy="635000"/>
                        </a:xfrm>
                        <a:prstGeom prst="rightBrace">
                          <a:avLst>
                            <a:gd name="adj1" fmla="val 0"/>
                            <a:gd name="adj2" fmla="val 0"/>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AutoShape 6" o:spid="_x0000_s1026" o:spt="88" type="#_x0000_t88" style="position:absolute;left:0pt;margin-left:0pt;margin-top:0pt;height:50pt;width:50pt;visibility:hidden;z-index:251663360;mso-width-relative:page;mso-height-relative:page;" fillcolor="#FFFFFF" filled="t" stroked="t" coordsize="21600,21600" o:gfxdata="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pTGWXSAAAABQEAAA8AAAAAAAAAAQAgAAAAIgAAAGRy&#10;cy9kb3ducmV2LnhtbFBLAQIUABQAAAAIAIdO4kCykGvBCwIAAHAEAAAOAAAAAAAAAAEAIAAAACEB&#10;AABkcnMvZTJvRG9jLnhtbFBLBQYAAAAABgAGAFkBAACeBQAAAAA=&#10;" adj="0,0">
                <v:fill on="t" focussize="0,0"/>
                <v:stroke color="#000000" joinstyle="round"/>
                <v:imagedata o:title=""/>
                <o:lock v:ext="edit" aspectratio="f"/>
              </v:shape>
            </w:pict>
          </mc:Fallback>
        </mc:AlternateContent>
      </w:r>
      <w:r>
        <w:rPr>
          <w:rFonts w:hint="eastAsia" w:asciiTheme="minorEastAsia" w:hAnsiTheme="minorEastAsia" w:eastAsiaTheme="minorEastAsia"/>
          <w:lang w:eastAsia="zh-CN"/>
        </w:rPr>
        <w:t xml:space="preserve">1)投标书 </w:t>
      </w:r>
    </w:p>
    <w:p>
      <w:pPr>
        <w:spacing w:line="360" w:lineRule="auto"/>
        <w:ind w:left="1365"/>
        <w:rPr>
          <w:rFonts w:asciiTheme="minorEastAsia" w:hAnsiTheme="minorEastAsia" w:eastAsiaTheme="minorEastAsia"/>
          <w:lang w:eastAsia="zh-CN"/>
        </w:rPr>
      </w:pPr>
      <w:r>
        <w:rPr>
          <w:rFonts w:hint="eastAsia" w:asciiTheme="minorEastAsia" w:hAnsiTheme="minorEastAsia" w:eastAsiaTheme="minorEastAsia"/>
          <w:lang w:eastAsia="zh-CN"/>
        </w:rPr>
        <w:t>2)投标一览表           按照本须知第七章提供的格式填写</w:t>
      </w:r>
    </w:p>
    <w:p>
      <w:pPr>
        <w:spacing w:line="360" w:lineRule="auto"/>
        <w:ind w:firstLine="1320" w:firstLineChars="600"/>
        <w:rPr>
          <w:rFonts w:asciiTheme="minorEastAsia" w:hAnsiTheme="minorEastAsia" w:eastAsiaTheme="minorEastAsia"/>
          <w:lang w:eastAsia="zh-CN"/>
        </w:rPr>
      </w:pPr>
      <w:r>
        <w:rPr>
          <w:rFonts w:hint="eastAsia" w:asciiTheme="minorEastAsia" w:hAnsiTheme="minorEastAsia" w:eastAsiaTheme="minorEastAsia"/>
          <w:lang w:eastAsia="zh-CN"/>
        </w:rPr>
        <w:t xml:space="preserve">3)投标分项报价表        </w:t>
      </w:r>
    </w:p>
    <w:p>
      <w:pPr>
        <w:spacing w:line="360" w:lineRule="auto"/>
        <w:ind w:left="1365"/>
        <w:rPr>
          <w:rFonts w:asciiTheme="minorEastAsia" w:hAnsiTheme="minorEastAsia" w:eastAsiaTheme="minorEastAsia"/>
          <w:lang w:eastAsia="zh-CN"/>
        </w:rPr>
      </w:pPr>
      <w:r>
        <w:rPr>
          <w:rFonts w:hint="eastAsia" w:asciiTheme="minorEastAsia" w:hAnsiTheme="minorEastAsia" w:eastAsiaTheme="minorEastAsia"/>
          <w:lang w:eastAsia="zh-CN"/>
        </w:rPr>
        <w:t>4)证明投标人是合格的，而且中标后有能力履行合同的资格证明文件。(按照本须知第13条要求和第七章提供的格式出具)</w:t>
      </w:r>
    </w:p>
    <w:p>
      <w:pPr>
        <w:spacing w:line="360" w:lineRule="auto"/>
        <w:ind w:left="1365"/>
        <w:rPr>
          <w:rFonts w:asciiTheme="minorEastAsia" w:hAnsiTheme="minorEastAsia" w:eastAsiaTheme="minorEastAsia"/>
          <w:lang w:eastAsia="zh-CN"/>
        </w:rPr>
      </w:pPr>
      <w:r>
        <w:rPr>
          <w:rFonts w:hint="eastAsia" w:asciiTheme="minorEastAsia" w:hAnsiTheme="minorEastAsia" w:eastAsiaTheme="minorEastAsia"/>
          <w:lang w:eastAsia="zh-CN"/>
        </w:rPr>
        <w:t>5)招标文件中要求的以及投标人认为需要提供的资料</w:t>
      </w:r>
    </w:p>
    <w:p>
      <w:pPr>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10.投标文件格式</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10.1</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投标人应按照本招标文件中第9条的内容和第七章投标文件格式的要求制作投标文件。如有漏项或招标方认为其投标文件有明显缺陷的，招标方有权决定其投标是否有效（无效的投标为废标）。</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10.2</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投标人应提供的投标文件密封完好（每份投标文件封面，均要注明“正本”或“副本”字样，包装封口处加盖投标人公章），一旦正本和副本内容有差异，以正本为准。</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10.3</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所有投标文件必须打印，且装订完好。由于投标文件出现错页，缺页所导致的一切后果由投标人承担及投标须知前附表的其他要求。</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10.4</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文件文字：投标文件均以中文印刷，中文以外的文字应附以中文译文，中外文不符时以中文为准。</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10.5</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投标文件计量单位：除在招标文件的技术规格中有规定的之外，计量单位使用中华人民共和国法定计量单位。</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10.6 满足投标须知前附表的其他要求。</w:t>
      </w:r>
    </w:p>
    <w:p>
      <w:pPr>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11.投标报价</w:t>
      </w:r>
    </w:p>
    <w:p>
      <w:pPr>
        <w:spacing w:line="360" w:lineRule="auto"/>
        <w:ind w:left="440" w:hanging="440" w:hangingChars="200"/>
        <w:rPr>
          <w:rFonts w:asciiTheme="minorEastAsia" w:hAnsiTheme="minorEastAsia" w:eastAsiaTheme="minorEastAsia"/>
          <w:lang w:eastAsia="zh-CN"/>
        </w:rPr>
      </w:pPr>
      <w:r>
        <w:rPr>
          <w:rFonts w:hint="eastAsia" w:asciiTheme="minorEastAsia" w:hAnsiTheme="minorEastAsia" w:eastAsiaTheme="minorEastAsia"/>
          <w:lang w:eastAsia="zh-CN"/>
        </w:rPr>
        <w:t>11.1 投标人应在投标分项报价表上标明本合同拟提供</w:t>
      </w:r>
      <w:r>
        <w:rPr>
          <w:rFonts w:hint="eastAsia" w:asciiTheme="minorEastAsia" w:hAnsiTheme="minorEastAsia" w:eastAsiaTheme="minorEastAsia"/>
          <w:lang w:val="en-US" w:eastAsia="zh-CN"/>
        </w:rPr>
        <w:t>物料</w:t>
      </w:r>
      <w:r>
        <w:rPr>
          <w:rFonts w:hint="eastAsia" w:asciiTheme="minorEastAsia" w:hAnsiTheme="minorEastAsia" w:eastAsiaTheme="minorEastAsia"/>
          <w:lang w:eastAsia="zh-CN"/>
        </w:rPr>
        <w:t>及服务的单价和总价。</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11.2 投标分项报价表上的价格应按下列方式分开填写：</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ab/>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投标人须按照服务清单的各分项目和集成服务费等分别报出价格。</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11.3</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本次投标报价只允许有一个报价，任何有选择的报价将不被接受。投标报价应考虑各种风险因素和费用，对投标人没有填入的项目，招标人认为投标人的报价已包括，在实施和结算时招标人不另行支付。</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11.4</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投标人根据本须知第11.2条的规定将投标价分成几部分，只是为了方便招标方对投标文件进行比较，并不限制招标人以上述任何条件订立合同的权力。</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11.5</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投标人所报的投标价在合同执行过程中是固定不变的，不得以任何理由予以变更。任何包含价格调整要求的投标，将被认为是非响应性投标而予以拒绝。</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11.6 投标人不得以低于成本的报价竞标，如认定为恶意报价竞标将予以废标处理（投标人的投标报价低于有效投标人平均价20%或高于有效投标人平均价15%，认定为恶意报价竞标）。</w:t>
      </w:r>
    </w:p>
    <w:p>
      <w:pPr>
        <w:numPr>
          <w:ilvl w:val="0"/>
          <w:numId w:val="30"/>
        </w:numPr>
        <w:tabs>
          <w:tab w:val="left" w:pos="420"/>
        </w:tabs>
        <w:spacing w:line="360" w:lineRule="auto"/>
        <w:rPr>
          <w:rFonts w:asciiTheme="minorEastAsia" w:hAnsiTheme="minorEastAsia" w:eastAsiaTheme="minorEastAsia"/>
          <w:b/>
          <w:bCs/>
        </w:rPr>
      </w:pPr>
      <w:r>
        <w:rPr>
          <w:rFonts w:hint="eastAsia" w:asciiTheme="minorEastAsia" w:hAnsiTheme="minorEastAsia" w:eastAsiaTheme="minorEastAsia"/>
          <w:b/>
          <w:bCs/>
        </w:rPr>
        <w:t>投标货币</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12.1 投标人提供的货物和服务一律用人民币报价。</w:t>
      </w:r>
    </w:p>
    <w:p>
      <w:pPr>
        <w:tabs>
          <w:tab w:val="left" w:pos="315"/>
        </w:tabs>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13．证明投标人合格和资格的文件</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13.1 投标人应提交证明其有资格参加投标和中标后有能力履行合同的文件，并作为其投标文件的一部分。</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13.2 投标人提交的合格性证明文件应使招标方满意，投标人在投标时应符合本须知第2.3条的规定。</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13.3 投标人提交的证明其中标后能履行合同的资格证明文件应使招标方满意，即</w:t>
      </w:r>
    </w:p>
    <w:p>
      <w:pPr>
        <w:spacing w:line="360" w:lineRule="auto"/>
        <w:ind w:left="1260"/>
        <w:rPr>
          <w:rFonts w:asciiTheme="minorEastAsia" w:hAnsiTheme="minorEastAsia" w:eastAsiaTheme="minorEastAsia"/>
          <w:lang w:eastAsia="zh-CN"/>
        </w:rPr>
      </w:pPr>
      <w:r>
        <w:rPr>
          <w:rFonts w:hint="eastAsia" w:asciiTheme="minorEastAsia" w:hAnsiTheme="minorEastAsia" w:eastAsiaTheme="minorEastAsia"/>
          <w:lang w:eastAsia="zh-CN"/>
        </w:rPr>
        <w:t>1)投标人已具备履行合同所需的财务、技术和生产能力；</w:t>
      </w:r>
    </w:p>
    <w:p>
      <w:pPr>
        <w:spacing w:line="360" w:lineRule="auto"/>
        <w:ind w:left="1260"/>
        <w:rPr>
          <w:rFonts w:asciiTheme="minorEastAsia" w:hAnsiTheme="minorEastAsia" w:eastAsiaTheme="minorEastAsia"/>
          <w:lang w:eastAsia="zh-CN"/>
        </w:rPr>
      </w:pPr>
      <w:r>
        <w:rPr>
          <w:rFonts w:hint="eastAsia" w:asciiTheme="minorEastAsia" w:hAnsiTheme="minorEastAsia" w:eastAsiaTheme="minorEastAsia"/>
          <w:lang w:eastAsia="zh-CN"/>
        </w:rPr>
        <w:t>2)投标人满足“投标人须知前附表”中列出的资格标准；</w:t>
      </w:r>
    </w:p>
    <w:p>
      <w:pPr>
        <w:spacing w:line="360" w:lineRule="auto"/>
        <w:ind w:left="1260"/>
        <w:rPr>
          <w:rFonts w:asciiTheme="minorEastAsia" w:hAnsiTheme="minorEastAsia" w:eastAsiaTheme="minorEastAsia"/>
          <w:lang w:eastAsia="zh-CN"/>
        </w:rPr>
      </w:pPr>
      <w:r>
        <w:rPr>
          <w:rFonts w:hint="eastAsia" w:asciiTheme="minorEastAsia" w:hAnsiTheme="minorEastAsia" w:eastAsiaTheme="minorEastAsia"/>
          <w:lang w:eastAsia="zh-CN"/>
        </w:rPr>
        <w:t>3)投标人应提供其开立基本帐户的银行的资信证明。</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13.4 投标人应提交“第八章 评标标准与方法”中所规定但不限于该规定的企业资格、业绩证明材料，未提供相应资料的将会对评标产生重大影响。</w:t>
      </w:r>
    </w:p>
    <w:p>
      <w:pPr>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14.投标保证金</w:t>
      </w:r>
    </w:p>
    <w:p>
      <w:pPr>
        <w:spacing w:line="360" w:lineRule="auto"/>
        <w:ind w:left="550" w:hanging="550" w:hangingChars="250"/>
        <w:rPr>
          <w:rFonts w:hint="default" w:asciiTheme="minorEastAsia" w:hAnsiTheme="minorEastAsia" w:eastAsiaTheme="minorEastAsia"/>
          <w:lang w:val="en-US" w:eastAsia="zh-CN"/>
        </w:rPr>
      </w:pPr>
      <w:r>
        <w:rPr>
          <w:rFonts w:hint="eastAsia" w:asciiTheme="minorEastAsia" w:hAnsiTheme="minorEastAsia" w:eastAsiaTheme="minorEastAsia"/>
          <w:lang w:eastAsia="zh-CN"/>
        </w:rPr>
        <w:t xml:space="preserve">14.1 </w:t>
      </w:r>
      <w:r>
        <w:rPr>
          <w:rFonts w:hint="eastAsia" w:asciiTheme="minorEastAsia" w:hAnsiTheme="minorEastAsia" w:eastAsiaTheme="minorEastAsia"/>
          <w:lang w:val="en-US" w:eastAsia="zh-CN"/>
        </w:rPr>
        <w:t>本次投标无需缴纳保证金</w:t>
      </w:r>
    </w:p>
    <w:p>
      <w:pPr>
        <w:tabs>
          <w:tab w:val="left" w:pos="315"/>
        </w:tabs>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1</w:t>
      </w:r>
      <w:r>
        <w:rPr>
          <w:rFonts w:hint="eastAsia" w:asciiTheme="minorEastAsia" w:hAnsiTheme="minorEastAsia" w:eastAsiaTheme="minorEastAsia"/>
          <w:b/>
          <w:bCs/>
          <w:lang w:val="en-US" w:eastAsia="zh-CN"/>
        </w:rPr>
        <w:t>5</w:t>
      </w:r>
      <w:r>
        <w:rPr>
          <w:rFonts w:hint="eastAsia" w:asciiTheme="minorEastAsia" w:hAnsiTheme="minorEastAsia" w:eastAsiaTheme="minorEastAsia"/>
          <w:b/>
          <w:bCs/>
          <w:lang w:eastAsia="zh-CN"/>
        </w:rPr>
        <w:t>.投标文件的制作和签署</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5</w:t>
      </w:r>
      <w:r>
        <w:rPr>
          <w:rFonts w:hint="eastAsia" w:asciiTheme="minorEastAsia" w:hAnsiTheme="minorEastAsia" w:eastAsiaTheme="minorEastAsia"/>
          <w:lang w:eastAsia="zh-CN"/>
        </w:rPr>
        <w:t>.1 投标人应准备一份投标文件正本和“投标人须知前附表”中规定数目的副本，及电子版本，每套投标文件须清楚地标明“正本”“副本”“电子版本”。若正本和副本不符，以正本为准，电子版与纸制文件不符，以纸制文件为准。</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5</w:t>
      </w:r>
      <w:r>
        <w:rPr>
          <w:rFonts w:hint="eastAsia" w:asciiTheme="minorEastAsia" w:hAnsiTheme="minorEastAsia" w:eastAsiaTheme="minorEastAsia"/>
          <w:lang w:eastAsia="zh-CN"/>
        </w:rPr>
        <w:t>.2 投标文件的正本需打印，并由投标人或经正式授权的代表在投标文件上签字。投标文件的副本可采用正本的复印件。</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5</w:t>
      </w:r>
      <w:r>
        <w:rPr>
          <w:rFonts w:hint="eastAsia" w:asciiTheme="minorEastAsia" w:hAnsiTheme="minorEastAsia" w:eastAsiaTheme="minorEastAsia"/>
          <w:lang w:eastAsia="zh-CN"/>
        </w:rPr>
        <w:t>.3 任何行间插字、涂改或增删，必须由投标文件签字人姓或首字母在旁边签字才有效。</w:t>
      </w:r>
    </w:p>
    <w:p>
      <w:pPr>
        <w:spacing w:line="360" w:lineRule="auto"/>
        <w:rPr>
          <w:rFonts w:asciiTheme="minorEastAsia" w:hAnsiTheme="minorEastAsia" w:eastAsiaTheme="minorEastAsia"/>
          <w:lang w:eastAsia="zh-CN"/>
        </w:rPr>
      </w:pPr>
    </w:p>
    <w:p>
      <w:pPr>
        <w:keepNext/>
        <w:keepLines/>
        <w:spacing w:before="260" w:after="260" w:line="360" w:lineRule="auto"/>
        <w:jc w:val="center"/>
        <w:outlineLvl w:val="1"/>
        <w:rPr>
          <w:rFonts w:cs="Arial" w:asciiTheme="minorEastAsia" w:hAnsiTheme="minorEastAsia" w:eastAsiaTheme="minorEastAsia"/>
          <w:b/>
          <w:bCs/>
          <w:w w:val="90"/>
          <w:lang w:eastAsia="zh-CN"/>
        </w:rPr>
      </w:pPr>
      <w:bookmarkStart w:id="107" w:name="_Toc99466905"/>
      <w:bookmarkStart w:id="108" w:name="_Toc48791220"/>
      <w:bookmarkStart w:id="109" w:name="_Toc47262054"/>
      <w:bookmarkStart w:id="110" w:name="_Toc17739"/>
      <w:bookmarkStart w:id="111" w:name="_Toc47418716"/>
      <w:bookmarkStart w:id="112" w:name="_Toc236555296"/>
      <w:bookmarkStart w:id="113" w:name="_Toc47261870"/>
      <w:bookmarkStart w:id="114" w:name="_Toc47261055"/>
      <w:bookmarkStart w:id="115" w:name="_Toc47261675"/>
      <w:bookmarkStart w:id="116" w:name="_Toc47418923"/>
      <w:bookmarkStart w:id="117" w:name="_Toc465350687"/>
      <w:bookmarkStart w:id="118" w:name="_Toc411245401"/>
      <w:bookmarkStart w:id="119" w:name="_Toc48995836"/>
      <w:bookmarkStart w:id="120" w:name="_Toc319056978"/>
      <w:bookmarkStart w:id="121" w:name="_Toc47418240"/>
      <w:bookmarkStart w:id="122" w:name="_Toc49019221"/>
      <w:r>
        <w:rPr>
          <w:rFonts w:hint="eastAsia" w:cs="Arial" w:asciiTheme="minorEastAsia" w:hAnsiTheme="minorEastAsia" w:eastAsiaTheme="minorEastAsia"/>
          <w:b/>
          <w:bCs/>
          <w:w w:val="90"/>
          <w:lang w:eastAsia="zh-CN"/>
        </w:rPr>
        <w:t>四、投标文件的密封和递交</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tabs>
          <w:tab w:val="left" w:pos="420"/>
        </w:tabs>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1</w:t>
      </w:r>
      <w:r>
        <w:rPr>
          <w:rFonts w:hint="eastAsia" w:asciiTheme="minorEastAsia" w:hAnsiTheme="minorEastAsia" w:eastAsiaTheme="minorEastAsia"/>
          <w:b/>
          <w:bCs/>
          <w:lang w:val="en-US" w:eastAsia="zh-CN"/>
        </w:rPr>
        <w:t>6</w:t>
      </w:r>
      <w:r>
        <w:rPr>
          <w:rFonts w:hint="eastAsia" w:asciiTheme="minorEastAsia" w:hAnsiTheme="minorEastAsia" w:eastAsiaTheme="minorEastAsia"/>
          <w:b/>
          <w:bCs/>
          <w:lang w:eastAsia="zh-CN"/>
        </w:rPr>
        <w:t>.投标文件的装订、密封和标记</w:t>
      </w:r>
    </w:p>
    <w:p>
      <w:pPr>
        <w:spacing w:line="360" w:lineRule="auto"/>
        <w:ind w:left="660" w:hanging="660" w:hangingChars="30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6</w:t>
      </w:r>
      <w:r>
        <w:rPr>
          <w:rFonts w:hint="eastAsia" w:asciiTheme="minorEastAsia" w:hAnsiTheme="minorEastAsia" w:eastAsiaTheme="minorEastAsia"/>
          <w:lang w:eastAsia="zh-CN"/>
        </w:rPr>
        <w:t>.1  投标人应将所有投标文件的正本和所有副本密封，密封的正本和所有副本应统一装入一个外层密封袋中，电子文档应封装在开标信封的密封袋中。</w:t>
      </w:r>
    </w:p>
    <w:p>
      <w:pPr>
        <w:spacing w:line="360" w:lineRule="auto"/>
        <w:ind w:left="660" w:hanging="660" w:hangingChars="300"/>
        <w:rPr>
          <w:rFonts w:asciiTheme="minorEastAsia" w:hAnsiTheme="minorEastAsia" w:eastAsiaTheme="minorEastAsia"/>
          <w:lang w:eastAsia="zh-CN"/>
        </w:rPr>
      </w:pPr>
      <w:r>
        <w:rPr>
          <w:rFonts w:hint="eastAsia" w:asciiTheme="minorEastAsia" w:hAnsiTheme="minorEastAsia" w:eastAsiaTheme="minorEastAsia"/>
          <w:lang w:eastAsia="zh-CN"/>
        </w:rPr>
        <w:t xml:space="preserve">      投标人应单独制作开标信封以便于唱标，开标信封内装投标函、投标一览表、投标保证金单据复印件、投标人基本情况信息表和电子版等。</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6</w:t>
      </w:r>
      <w:r>
        <w:rPr>
          <w:rFonts w:hint="eastAsia" w:asciiTheme="minorEastAsia" w:hAnsiTheme="minorEastAsia" w:eastAsiaTheme="minorEastAsia"/>
          <w:lang w:eastAsia="zh-CN"/>
        </w:rPr>
        <w:t>.2  在投标文件密封袋上均应写明招标人名称和地址；</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注明下列识别标志：</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（1） 招标项目编号；</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（2） 招标项目名称；</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（3） 投标人名称；</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（4） 注明“在   年  月  日   时之前不得启封”的字样（前述时间指开标时间）。</w:t>
      </w:r>
    </w:p>
    <w:p>
      <w:pPr>
        <w:spacing w:line="360" w:lineRule="auto"/>
        <w:ind w:left="660" w:hanging="660" w:hangingChars="30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6</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3</w:t>
      </w:r>
      <w:r>
        <w:rPr>
          <w:rFonts w:hint="eastAsia" w:asciiTheme="minorEastAsia" w:hAnsiTheme="minorEastAsia" w:eastAsiaTheme="minorEastAsia"/>
          <w:lang w:eastAsia="zh-CN"/>
        </w:rPr>
        <w:t xml:space="preserve"> 投标文件采用标准A4纸打印，并在左侧采用胶装的形式，加盖投标人单位公章，并由投标人的法定代表人或其授权的代理人签署。</w:t>
      </w:r>
      <w:r>
        <w:rPr>
          <w:rFonts w:hint="eastAsia" w:asciiTheme="minorEastAsia" w:hAnsiTheme="minorEastAsia" w:eastAsiaTheme="minorEastAsia"/>
          <w:b/>
          <w:bCs/>
          <w:lang w:eastAsia="zh-CN"/>
        </w:rPr>
        <w:t>投标文件需编制目录并连续标注页码。</w:t>
      </w:r>
    </w:p>
    <w:p>
      <w:pPr>
        <w:tabs>
          <w:tab w:val="left" w:pos="420"/>
        </w:tabs>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1</w:t>
      </w:r>
      <w:r>
        <w:rPr>
          <w:rFonts w:hint="eastAsia" w:asciiTheme="minorEastAsia" w:hAnsiTheme="minorEastAsia" w:eastAsiaTheme="minorEastAsia"/>
          <w:b/>
          <w:bCs/>
          <w:lang w:val="en-US" w:eastAsia="zh-CN"/>
        </w:rPr>
        <w:t>7</w:t>
      </w:r>
      <w:r>
        <w:rPr>
          <w:rFonts w:hint="eastAsia" w:asciiTheme="minorEastAsia" w:hAnsiTheme="minorEastAsia" w:eastAsiaTheme="minorEastAsia"/>
          <w:b/>
          <w:bCs/>
          <w:lang w:eastAsia="zh-CN"/>
        </w:rPr>
        <w:t>.投标截止期</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7</w:t>
      </w:r>
      <w:r>
        <w:rPr>
          <w:rFonts w:hint="eastAsia" w:asciiTheme="minorEastAsia" w:hAnsiTheme="minorEastAsia" w:eastAsiaTheme="minorEastAsia"/>
          <w:lang w:eastAsia="zh-CN"/>
        </w:rPr>
        <w:t>.1 投标人应在不迟于“投标人须知前附表”中规定的截止日期和时间将投标文件递交给招标</w:t>
      </w:r>
      <w:r>
        <w:rPr>
          <w:rFonts w:hint="eastAsia" w:asciiTheme="minorEastAsia" w:hAnsiTheme="minorEastAsia" w:eastAsiaTheme="minorEastAsia"/>
          <w:lang w:val="en-US" w:eastAsia="zh-CN"/>
        </w:rPr>
        <w:t>方</w:t>
      </w:r>
      <w:r>
        <w:rPr>
          <w:rFonts w:hint="eastAsia" w:asciiTheme="minorEastAsia" w:hAnsiTheme="minorEastAsia" w:eastAsiaTheme="minorEastAsia"/>
          <w:lang w:eastAsia="zh-CN"/>
        </w:rPr>
        <w:t>，递交地点应是“投标人须知前附表”中指明的地址。</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7</w:t>
      </w:r>
      <w:r>
        <w:rPr>
          <w:rFonts w:hint="eastAsia" w:asciiTheme="minorEastAsia" w:hAnsiTheme="minorEastAsia" w:eastAsiaTheme="minorEastAsia"/>
          <w:lang w:eastAsia="zh-CN"/>
        </w:rPr>
        <w:t>.2 招标机构可以按本须知第7条规定，通知修改招标文件适当延长投标截止期。在此情况下，招标机构、招标人和投标人受投标截止期制约的所有权利和义务均应延长至新的截止期。</w:t>
      </w:r>
    </w:p>
    <w:p>
      <w:pPr>
        <w:tabs>
          <w:tab w:val="left" w:pos="420"/>
        </w:tabs>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val="en-US" w:eastAsia="zh-CN"/>
        </w:rPr>
        <w:t>18</w:t>
      </w:r>
      <w:r>
        <w:rPr>
          <w:rFonts w:hint="eastAsia" w:asciiTheme="minorEastAsia" w:hAnsiTheme="minorEastAsia" w:eastAsiaTheme="minorEastAsia"/>
          <w:b/>
          <w:bCs/>
          <w:lang w:eastAsia="zh-CN"/>
        </w:rPr>
        <w:t>.迟交的投标文件</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val="en-US" w:eastAsia="zh-CN"/>
        </w:rPr>
        <w:t>18</w:t>
      </w:r>
      <w:r>
        <w:rPr>
          <w:rFonts w:hint="eastAsia" w:asciiTheme="minorEastAsia" w:hAnsiTheme="minorEastAsia" w:eastAsiaTheme="minorEastAsia"/>
          <w:lang w:eastAsia="zh-CN"/>
        </w:rPr>
        <w:t>.1 招标</w:t>
      </w:r>
      <w:r>
        <w:rPr>
          <w:rFonts w:hint="eastAsia" w:asciiTheme="minorEastAsia" w:hAnsiTheme="minorEastAsia" w:eastAsiaTheme="minorEastAsia"/>
          <w:lang w:val="en-US" w:eastAsia="zh-CN"/>
        </w:rPr>
        <w:t>方</w:t>
      </w:r>
      <w:r>
        <w:rPr>
          <w:rFonts w:hint="eastAsia" w:asciiTheme="minorEastAsia" w:hAnsiTheme="minorEastAsia" w:eastAsiaTheme="minorEastAsia"/>
          <w:lang w:eastAsia="zh-CN"/>
        </w:rPr>
        <w:t>将拒绝接收</w:t>
      </w:r>
      <w:r>
        <w:rPr>
          <w:rFonts w:hint="eastAsia" w:asciiTheme="minorEastAsia" w:hAnsiTheme="minorEastAsia" w:eastAsiaTheme="minorEastAsia"/>
          <w:lang w:val="en-US" w:eastAsia="zh-CN"/>
        </w:rPr>
        <w:t>在</w:t>
      </w:r>
      <w:r>
        <w:rPr>
          <w:rFonts w:hint="eastAsia" w:asciiTheme="minorEastAsia" w:hAnsiTheme="minorEastAsia" w:eastAsiaTheme="minorEastAsia"/>
          <w:lang w:eastAsia="zh-CN"/>
        </w:rPr>
        <w:t>规定的截止期后送达的任何投标文件， 截止期后收到的邮寄投标文件将原封退回。</w:t>
      </w:r>
    </w:p>
    <w:p>
      <w:pPr>
        <w:tabs>
          <w:tab w:val="left" w:pos="420"/>
        </w:tabs>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val="en-US" w:eastAsia="zh-CN"/>
        </w:rPr>
        <w:t>19</w:t>
      </w:r>
      <w:r>
        <w:rPr>
          <w:rFonts w:hint="eastAsia" w:asciiTheme="minorEastAsia" w:hAnsiTheme="minorEastAsia" w:eastAsiaTheme="minorEastAsia"/>
          <w:b/>
          <w:bCs/>
          <w:lang w:eastAsia="zh-CN"/>
        </w:rPr>
        <w:t>.投标文件的修改与撤回</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val="en-US" w:eastAsia="zh-CN"/>
        </w:rPr>
        <w:t>19</w:t>
      </w:r>
      <w:r>
        <w:rPr>
          <w:rFonts w:hint="eastAsia" w:asciiTheme="minorEastAsia" w:hAnsiTheme="minorEastAsia" w:eastAsiaTheme="minorEastAsia"/>
          <w:lang w:eastAsia="zh-CN"/>
        </w:rPr>
        <w:t>.1 投标人在递交投标文件后，可以修改或撤回其投标，但投标人必须在规定的投标截止期之前将修改或撤回的书面通知递交到招标</w:t>
      </w:r>
      <w:r>
        <w:rPr>
          <w:rFonts w:hint="eastAsia" w:asciiTheme="minorEastAsia" w:hAnsiTheme="minorEastAsia" w:eastAsiaTheme="minorEastAsia"/>
          <w:lang w:val="en-US" w:eastAsia="zh-CN"/>
        </w:rPr>
        <w:t>方</w:t>
      </w:r>
      <w:r>
        <w:rPr>
          <w:rFonts w:hint="eastAsia" w:asciiTheme="minorEastAsia" w:hAnsiTheme="minorEastAsia" w:eastAsiaTheme="minorEastAsia"/>
          <w:lang w:eastAsia="zh-CN"/>
        </w:rPr>
        <w:t>。</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val="en-US" w:eastAsia="zh-CN"/>
        </w:rPr>
        <w:t>19</w:t>
      </w:r>
      <w:r>
        <w:rPr>
          <w:rFonts w:hint="eastAsia" w:asciiTheme="minorEastAsia" w:hAnsiTheme="minorEastAsia" w:eastAsiaTheme="minorEastAsia"/>
          <w:lang w:eastAsia="zh-CN"/>
        </w:rPr>
        <w:t>.2 投标人的修改或撤回通知应按规定编制、密封、标记和递交。</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val="en-US" w:eastAsia="zh-CN"/>
        </w:rPr>
        <w:t>19</w:t>
      </w:r>
      <w:r>
        <w:rPr>
          <w:rFonts w:hint="eastAsia" w:asciiTheme="minorEastAsia" w:hAnsiTheme="minorEastAsia" w:eastAsiaTheme="minorEastAsia"/>
          <w:lang w:eastAsia="zh-CN"/>
        </w:rPr>
        <w:t>.3 在投标截止期之后，投标人不得对其投标做任何修改。</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val="en-US" w:eastAsia="zh-CN"/>
        </w:rPr>
        <w:t>19</w:t>
      </w:r>
      <w:r>
        <w:rPr>
          <w:rFonts w:hint="eastAsia" w:asciiTheme="minorEastAsia" w:hAnsiTheme="minorEastAsia" w:eastAsiaTheme="minorEastAsia"/>
          <w:lang w:eastAsia="zh-CN"/>
        </w:rPr>
        <w:t>.4 从投标截止期至投标人在投标书格式中确定的投标有效期期满这段时间内，投标人不得撤回其投标。</w:t>
      </w:r>
    </w:p>
    <w:p>
      <w:pPr>
        <w:keepNext/>
        <w:keepLines/>
        <w:spacing w:before="260" w:after="260" w:line="360" w:lineRule="auto"/>
        <w:jc w:val="center"/>
        <w:outlineLvl w:val="1"/>
        <w:rPr>
          <w:rFonts w:cs="Arial" w:asciiTheme="minorEastAsia" w:hAnsiTheme="minorEastAsia" w:eastAsiaTheme="minorEastAsia"/>
          <w:b/>
          <w:bCs/>
          <w:w w:val="90"/>
          <w:lang w:eastAsia="zh-CN"/>
        </w:rPr>
      </w:pPr>
      <w:bookmarkStart w:id="123" w:name="_Toc49019222"/>
      <w:bookmarkStart w:id="124" w:name="_Toc47418924"/>
      <w:bookmarkStart w:id="125" w:name="_Toc47418717"/>
      <w:bookmarkStart w:id="126" w:name="_Toc47418241"/>
      <w:bookmarkStart w:id="127" w:name="_Toc47261676"/>
      <w:bookmarkStart w:id="128" w:name="_Toc47261871"/>
      <w:bookmarkStart w:id="129" w:name="_Toc236555297"/>
      <w:bookmarkStart w:id="130" w:name="_Toc48995837"/>
      <w:bookmarkStart w:id="131" w:name="_Toc99466906"/>
      <w:bookmarkStart w:id="132" w:name="_Toc465350688"/>
      <w:bookmarkStart w:id="133" w:name="_Toc47262055"/>
      <w:bookmarkStart w:id="134" w:name="_Toc48791221"/>
      <w:bookmarkStart w:id="135" w:name="_Toc47261056"/>
      <w:bookmarkStart w:id="136" w:name="_Toc411245402"/>
      <w:bookmarkStart w:id="137" w:name="_Toc319056979"/>
      <w:bookmarkStart w:id="138" w:name="_Toc32280"/>
      <w:r>
        <w:rPr>
          <w:rFonts w:hint="eastAsia" w:cs="Arial" w:asciiTheme="minorEastAsia" w:hAnsiTheme="minorEastAsia" w:eastAsiaTheme="minorEastAsia"/>
          <w:b/>
          <w:bCs/>
          <w:w w:val="90"/>
          <w:lang w:eastAsia="zh-CN"/>
        </w:rPr>
        <w:t>五、开标与评标</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tabs>
          <w:tab w:val="left" w:pos="420"/>
        </w:tabs>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2</w:t>
      </w:r>
      <w:r>
        <w:rPr>
          <w:rFonts w:hint="eastAsia" w:asciiTheme="minorEastAsia" w:hAnsiTheme="minorEastAsia" w:eastAsiaTheme="minorEastAsia"/>
          <w:b/>
          <w:bCs/>
          <w:lang w:val="en-US" w:eastAsia="zh-CN"/>
        </w:rPr>
        <w:t>0</w:t>
      </w:r>
      <w:r>
        <w:rPr>
          <w:rFonts w:hint="eastAsia" w:asciiTheme="minorEastAsia" w:hAnsiTheme="minorEastAsia" w:eastAsiaTheme="minorEastAsia"/>
          <w:b/>
          <w:bCs/>
          <w:lang w:eastAsia="zh-CN"/>
        </w:rPr>
        <w:t>.开标</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0</w:t>
      </w:r>
      <w:r>
        <w:rPr>
          <w:rFonts w:hint="eastAsia" w:asciiTheme="minorEastAsia" w:hAnsiTheme="minorEastAsia" w:eastAsiaTheme="minorEastAsia"/>
          <w:lang w:eastAsia="zh-CN"/>
        </w:rPr>
        <w:t>.1 招标</w:t>
      </w:r>
      <w:r>
        <w:rPr>
          <w:rFonts w:hint="eastAsia" w:asciiTheme="minorEastAsia" w:hAnsiTheme="minorEastAsia" w:eastAsiaTheme="minorEastAsia"/>
          <w:lang w:val="en-US" w:eastAsia="zh-CN"/>
        </w:rPr>
        <w:t>方</w:t>
      </w:r>
      <w:r>
        <w:rPr>
          <w:rFonts w:hint="eastAsia" w:asciiTheme="minorEastAsia" w:hAnsiTheme="minorEastAsia" w:eastAsiaTheme="minorEastAsia"/>
          <w:lang w:eastAsia="zh-CN"/>
        </w:rPr>
        <w:t>在“投标人须知前附表”中规定的日期、时间和地点组织公开开标。开标时邀请所有投标人代表参加，参加开标的代表应签名报到以证明其出席。</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0</w:t>
      </w:r>
      <w:r>
        <w:rPr>
          <w:rFonts w:hint="eastAsia" w:asciiTheme="minorEastAsia" w:hAnsiTheme="minorEastAsia" w:eastAsiaTheme="minorEastAsia"/>
          <w:lang w:eastAsia="zh-CN"/>
        </w:rPr>
        <w:t>.2 开标时，招标</w:t>
      </w:r>
      <w:r>
        <w:rPr>
          <w:rFonts w:hint="eastAsia" w:asciiTheme="minorEastAsia" w:hAnsiTheme="minorEastAsia" w:eastAsiaTheme="minorEastAsia"/>
          <w:lang w:val="en-US" w:eastAsia="zh-CN"/>
        </w:rPr>
        <w:t>方</w:t>
      </w:r>
      <w:r>
        <w:rPr>
          <w:rFonts w:hint="eastAsia" w:asciiTheme="minorEastAsia" w:hAnsiTheme="minorEastAsia" w:eastAsiaTheme="minorEastAsia"/>
          <w:lang w:eastAsia="zh-CN"/>
        </w:rPr>
        <w:t>当众宣读投标人名称、招标编号（项目名称）、投标价格、是否提交了投标保证金，以及招标</w:t>
      </w:r>
      <w:r>
        <w:rPr>
          <w:rFonts w:hint="eastAsia" w:asciiTheme="minorEastAsia" w:hAnsiTheme="minorEastAsia" w:eastAsiaTheme="minorEastAsia"/>
          <w:lang w:val="en-US" w:eastAsia="zh-CN"/>
        </w:rPr>
        <w:t>方</w:t>
      </w:r>
      <w:r>
        <w:rPr>
          <w:rFonts w:hint="eastAsia" w:asciiTheme="minorEastAsia" w:hAnsiTheme="minorEastAsia" w:eastAsiaTheme="minorEastAsia"/>
          <w:lang w:eastAsia="zh-CN"/>
        </w:rPr>
        <w:t>认为合适的其他内容。除了按规定原封退回迟到的以及未按规定密封的投标之外，开标时将不得拒绝任何投标。</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0</w:t>
      </w:r>
      <w:r>
        <w:rPr>
          <w:rFonts w:hint="eastAsia" w:asciiTheme="minorEastAsia" w:hAnsiTheme="minorEastAsia" w:eastAsiaTheme="minorEastAsia"/>
          <w:lang w:eastAsia="zh-CN"/>
        </w:rPr>
        <w:t>.3 在开标时没有读出的有关声明，在评标时将不予考虑。</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0</w:t>
      </w:r>
      <w:r>
        <w:rPr>
          <w:rFonts w:hint="eastAsia" w:asciiTheme="minorEastAsia" w:hAnsiTheme="minorEastAsia" w:eastAsiaTheme="minorEastAsia"/>
          <w:lang w:eastAsia="zh-CN"/>
        </w:rPr>
        <w:t>.4 招标将做开标记录。</w:t>
      </w:r>
    </w:p>
    <w:p>
      <w:pPr>
        <w:spacing w:line="360" w:lineRule="auto"/>
        <w:rPr>
          <w:rFonts w:asciiTheme="minorEastAsia" w:hAnsiTheme="minorEastAsia" w:eastAsiaTheme="minorEastAsia"/>
          <w:lang w:eastAsia="zh-CN"/>
        </w:rPr>
      </w:pPr>
      <w:r>
        <w:rPr>
          <w:rFonts w:hint="eastAsia" w:asciiTheme="minorEastAsia" w:hAnsiTheme="minorEastAsia" w:eastAsiaTheme="minorEastAsia"/>
          <w:b/>
          <w:bCs/>
          <w:lang w:eastAsia="zh-CN"/>
        </w:rPr>
        <w:t>2</w:t>
      </w:r>
      <w:r>
        <w:rPr>
          <w:rFonts w:hint="eastAsia" w:asciiTheme="minorEastAsia" w:hAnsiTheme="minorEastAsia" w:eastAsiaTheme="minorEastAsia"/>
          <w:b/>
          <w:bCs/>
          <w:lang w:val="en-US" w:eastAsia="zh-CN"/>
        </w:rPr>
        <w:t>1</w:t>
      </w:r>
      <w:r>
        <w:rPr>
          <w:rFonts w:hint="eastAsia" w:asciiTheme="minorEastAsia" w:hAnsiTheme="minorEastAsia" w:eastAsiaTheme="minorEastAsia"/>
          <w:b/>
          <w:bCs/>
          <w:lang w:eastAsia="zh-CN"/>
        </w:rPr>
        <w:t>.  评标</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bCs/>
          <w:lang w:eastAsia="zh-CN"/>
        </w:rPr>
        <w:t>2</w:t>
      </w:r>
      <w:r>
        <w:rPr>
          <w:rFonts w:hint="eastAsia" w:asciiTheme="minorEastAsia" w:hAnsiTheme="minorEastAsia" w:eastAsiaTheme="minorEastAsia"/>
          <w:bCs/>
          <w:lang w:val="en-US" w:eastAsia="zh-CN"/>
        </w:rPr>
        <w:t>1</w:t>
      </w:r>
      <w:r>
        <w:rPr>
          <w:rFonts w:hint="eastAsia" w:asciiTheme="minorEastAsia" w:hAnsiTheme="minorEastAsia" w:eastAsiaTheme="minorEastAsia"/>
          <w:bCs/>
          <w:lang w:eastAsia="zh-CN"/>
        </w:rPr>
        <w:t>.1 评标委员会</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.1.1 招标机构将按照“中华人民共和国招标投标法”及有关规定组建评标委员会。</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.1.2 评标委员会由招标人代表及有关经济、技术等方面的专家组成。</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.1.3评标委员会负责评标工作，对投标文件进行审查和评估。</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bCs/>
          <w:lang w:eastAsia="zh-CN"/>
        </w:rPr>
        <w:t>2</w:t>
      </w:r>
      <w:r>
        <w:rPr>
          <w:rFonts w:hint="eastAsia" w:asciiTheme="minorEastAsia" w:hAnsiTheme="minorEastAsia" w:eastAsiaTheme="minorEastAsia"/>
          <w:bCs/>
          <w:lang w:val="en-US" w:eastAsia="zh-CN"/>
        </w:rPr>
        <w:t>1</w:t>
      </w:r>
      <w:r>
        <w:rPr>
          <w:rFonts w:hint="eastAsia" w:asciiTheme="minorEastAsia" w:hAnsiTheme="minorEastAsia" w:eastAsiaTheme="minorEastAsia"/>
          <w:bCs/>
          <w:lang w:eastAsia="zh-CN"/>
        </w:rPr>
        <w:t>.2</w:t>
      </w:r>
      <w:r>
        <w:rPr>
          <w:rFonts w:hint="eastAsia" w:asciiTheme="minorEastAsia" w:hAnsiTheme="minorEastAsia" w:eastAsiaTheme="minorEastAsia"/>
          <w:bCs/>
          <w:lang w:val="en-US" w:eastAsia="zh-CN"/>
        </w:rPr>
        <w:t xml:space="preserve"> </w:t>
      </w:r>
      <w:r>
        <w:rPr>
          <w:rFonts w:hint="eastAsia" w:asciiTheme="minorEastAsia" w:hAnsiTheme="minorEastAsia" w:eastAsiaTheme="minorEastAsia"/>
          <w:bCs/>
          <w:lang w:eastAsia="zh-CN"/>
        </w:rPr>
        <w:t>评标方法：综合评标法</w:t>
      </w:r>
      <w:r>
        <w:rPr>
          <w:rFonts w:hint="eastAsia" w:asciiTheme="minorEastAsia" w:hAnsiTheme="minorEastAsia" w:eastAsiaTheme="minorEastAsia"/>
          <w:lang w:eastAsia="zh-CN"/>
        </w:rPr>
        <w:t>。</w:t>
      </w:r>
    </w:p>
    <w:p>
      <w:pPr>
        <w:spacing w:line="360" w:lineRule="auto"/>
        <w:rPr>
          <w:rFonts w:asciiTheme="minorEastAsia" w:hAnsiTheme="minorEastAsia" w:eastAsiaTheme="minorEastAsia"/>
          <w:lang w:eastAsia="zh-CN"/>
        </w:rPr>
      </w:pPr>
      <w:r>
        <w:rPr>
          <w:rFonts w:hint="eastAsia" w:asciiTheme="minorEastAsia" w:hAnsiTheme="minorEastAsia" w:eastAsiaTheme="minorEastAsia"/>
          <w:bCs/>
          <w:lang w:eastAsia="zh-CN"/>
        </w:rPr>
        <w:t>2</w:t>
      </w:r>
      <w:r>
        <w:rPr>
          <w:rFonts w:hint="eastAsia" w:asciiTheme="minorEastAsia" w:hAnsiTheme="minorEastAsia" w:eastAsiaTheme="minorEastAsia"/>
          <w:bCs/>
          <w:lang w:val="en-US" w:eastAsia="zh-CN"/>
        </w:rPr>
        <w:t>1</w:t>
      </w:r>
      <w:r>
        <w:rPr>
          <w:rFonts w:hint="eastAsia" w:asciiTheme="minorEastAsia" w:hAnsiTheme="minorEastAsia" w:eastAsiaTheme="minorEastAsia"/>
          <w:bCs/>
          <w:lang w:eastAsia="zh-CN"/>
        </w:rPr>
        <w:t>.3   投标文件的澄清</w:t>
      </w:r>
    </w:p>
    <w:p>
      <w:pPr>
        <w:spacing w:line="360" w:lineRule="auto"/>
        <w:ind w:left="770" w:hanging="770" w:hangingChars="3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.3.1 在评标期间，评标委员会可要求投标人对其投标文件中含义不明确的内容作必要的澄清或说明，但澄清或说明不得超出投标文件的范围或改变投标文件实质性内容。有关澄清的要求和答复均应以书面形式提交，澄清的内容为投标文件的组成部分。</w:t>
      </w:r>
    </w:p>
    <w:p>
      <w:pPr>
        <w:spacing w:line="360" w:lineRule="auto"/>
        <w:rPr>
          <w:rFonts w:asciiTheme="minorEastAsia" w:hAnsiTheme="minorEastAsia" w:eastAsiaTheme="minorEastAsia"/>
          <w:bCs/>
          <w:lang w:eastAsia="zh-CN"/>
        </w:rPr>
      </w:pPr>
      <w:r>
        <w:rPr>
          <w:rFonts w:hint="eastAsia" w:asciiTheme="minorEastAsia" w:hAnsiTheme="minorEastAsia" w:eastAsiaTheme="minorEastAsia"/>
          <w:bCs/>
          <w:lang w:eastAsia="zh-CN"/>
        </w:rPr>
        <w:t>2</w:t>
      </w:r>
      <w:r>
        <w:rPr>
          <w:rFonts w:hint="eastAsia" w:asciiTheme="minorEastAsia" w:hAnsiTheme="minorEastAsia" w:eastAsiaTheme="minorEastAsia"/>
          <w:bCs/>
          <w:lang w:val="en-US" w:eastAsia="zh-CN"/>
        </w:rPr>
        <w:t>1</w:t>
      </w:r>
      <w:r>
        <w:rPr>
          <w:rFonts w:hint="eastAsia" w:asciiTheme="minorEastAsia" w:hAnsiTheme="minorEastAsia" w:eastAsiaTheme="minorEastAsia"/>
          <w:bCs/>
          <w:lang w:eastAsia="zh-CN"/>
        </w:rPr>
        <w:t>.4</w:t>
      </w:r>
      <w:r>
        <w:rPr>
          <w:rFonts w:hint="eastAsia" w:asciiTheme="minorEastAsia" w:hAnsiTheme="minorEastAsia" w:eastAsiaTheme="minorEastAsia"/>
          <w:bCs/>
          <w:lang w:val="en-US" w:eastAsia="zh-CN"/>
        </w:rPr>
        <w:t xml:space="preserve">  </w:t>
      </w:r>
      <w:r>
        <w:rPr>
          <w:rFonts w:hint="eastAsia" w:asciiTheme="minorEastAsia" w:hAnsiTheme="minorEastAsia" w:eastAsiaTheme="minorEastAsia"/>
          <w:bCs/>
          <w:lang w:eastAsia="zh-CN"/>
        </w:rPr>
        <w:t>资格审查</w:t>
      </w:r>
    </w:p>
    <w:p>
      <w:pPr>
        <w:tabs>
          <w:tab w:val="left" w:pos="0"/>
        </w:tabs>
        <w:spacing w:line="360" w:lineRule="auto"/>
        <w:ind w:firstLine="660" w:firstLineChars="300"/>
        <w:rPr>
          <w:rFonts w:asciiTheme="minorEastAsia" w:hAnsiTheme="minorEastAsia" w:eastAsiaTheme="minorEastAsia"/>
          <w:lang w:eastAsia="zh-CN"/>
        </w:rPr>
      </w:pPr>
      <w:r>
        <w:rPr>
          <w:rFonts w:hint="eastAsia" w:asciiTheme="minorEastAsia" w:hAnsiTheme="minorEastAsia" w:eastAsiaTheme="minorEastAsia"/>
          <w:lang w:eastAsia="zh-CN"/>
        </w:rPr>
        <w:t>评标委员会根据招标文件中要求的投标人资格，在初步审查前对各投标人进行资格审查。</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bCs/>
          <w:lang w:eastAsia="zh-CN"/>
        </w:rPr>
        <w:t>2</w:t>
      </w:r>
      <w:r>
        <w:rPr>
          <w:rFonts w:hint="eastAsia" w:asciiTheme="minorEastAsia" w:hAnsiTheme="minorEastAsia" w:eastAsiaTheme="minorEastAsia"/>
          <w:bCs/>
          <w:lang w:val="en-US" w:eastAsia="zh-CN"/>
        </w:rPr>
        <w:t>1</w:t>
      </w:r>
      <w:r>
        <w:rPr>
          <w:rFonts w:hint="eastAsia" w:asciiTheme="minorEastAsia" w:hAnsiTheme="minorEastAsia" w:eastAsiaTheme="minorEastAsia"/>
          <w:bCs/>
          <w:lang w:eastAsia="zh-CN"/>
        </w:rPr>
        <w:t>.5</w:t>
      </w:r>
      <w:r>
        <w:rPr>
          <w:rFonts w:hint="eastAsia" w:asciiTheme="minorEastAsia" w:hAnsiTheme="minorEastAsia" w:eastAsiaTheme="minorEastAsia"/>
          <w:lang w:eastAsia="zh-CN"/>
        </w:rPr>
        <w:t xml:space="preserve">  投标文件的初审（符合性检查）</w:t>
      </w:r>
    </w:p>
    <w:p>
      <w:pPr>
        <w:spacing w:line="360" w:lineRule="auto"/>
        <w:ind w:left="770" w:hanging="770" w:hangingChars="3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.5.1评标委员会将审查投标文件是否完整、资格证明文件是否齐全，投标保证金是否合格、有无计算上的错误等。</w:t>
      </w:r>
    </w:p>
    <w:p>
      <w:pPr>
        <w:spacing w:line="360" w:lineRule="auto"/>
        <w:ind w:left="770" w:hanging="770" w:hangingChars="3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.5.2 算术错误将按以下方法更正：若单价计算的结果与总价不一致，以单价为准修改总价；若用文字表示的数值与用数字表示的数值不一致，以文字表示的数值为准。如果投标人不接受对其错误的更正，其投标将被拒绝。</w:t>
      </w:r>
    </w:p>
    <w:p>
      <w:pPr>
        <w:spacing w:line="360" w:lineRule="auto"/>
        <w:ind w:left="770" w:hanging="770" w:hangingChars="3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.5.3 对于投标文件中不构成实质性偏差的不正规、不一致或不规则，招标方可以接受，但这种接受将影响投标人的综合得分。</w:t>
      </w:r>
    </w:p>
    <w:p>
      <w:pPr>
        <w:spacing w:line="360" w:lineRule="auto"/>
        <w:ind w:left="770" w:hanging="770" w:hangingChars="3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.5.4 在详细评标之前，根据本须知的规定，评标委员会要审查每份投标文件是否实质上响应了招标文件的要求。实质上响应的投标应该是与招标文件要求的全部条款、条件和规格参数相符，没有重大偏离的投标。对关键条文的偏离、保留或反对将被认为是实质上的偏离。评标委员会决定投标的响应性只根据投标本身的内容，而不寻求外部的证据。</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.5.5 实质上没有响应招标文件要求的投标将被拒绝。投标人不得通过修正或撤销不合要求的偏离或保留从而使其投标成为实质上响应的投标。如发现下列情况之一的，其投标将被拒绝：</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(1)投标书、投标报价一览表未按招标文件规定的要求由授权代表签字和加盖公章的；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(2)投标人未提交投标保证金或金额不足的；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(3)投标有效期不足的；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(4)投标人的资格不符合招标文件规定的；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(5)投标人递交两份或多份内容不同的投标文件，或在一份投标文件中对同一招标项目报有两个或多个报价，且未声明哪一个有效的；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(6)投标报价没有提供报价明细表的；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(7)其投标报价超过招标文件规定的招标控制价的；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(8)投标文件电子版未按规定要求提交的；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(9)投标文件中提供虚假或失实资料的；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(10)投标人相互串通投标的；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(11)有实质性偏离、缺陷、条件限制或保留；</w:t>
      </w:r>
    </w:p>
    <w:p>
      <w:pPr>
        <w:tabs>
          <w:tab w:val="left" w:pos="1440"/>
        </w:tabs>
        <w:spacing w:line="360" w:lineRule="auto"/>
        <w:ind w:left="440" w:hanging="440" w:hangingChars="200"/>
        <w:rPr>
          <w:rFonts w:asciiTheme="minorEastAsia" w:hAnsiTheme="minorEastAsia" w:eastAsiaTheme="minorEastAsia"/>
          <w:lang w:eastAsia="zh-CN"/>
        </w:rPr>
      </w:pPr>
      <w:r>
        <w:rPr>
          <w:rFonts w:asciiTheme="minorEastAsia" w:hAnsiTheme="minorEastAsia" w:eastAsiaTheme="minorEastAsia"/>
          <w:lang w:eastAsia="zh-CN"/>
        </w:rPr>
        <w:t>说明：有下列情形之一的，视为投标人相互串通投标：</w:t>
      </w:r>
      <w:r>
        <w:rPr>
          <w:rFonts w:asciiTheme="minorEastAsia" w:hAnsiTheme="minorEastAsia" w:eastAsiaTheme="minorEastAsia"/>
          <w:lang w:eastAsia="zh-CN"/>
        </w:rPr>
        <w:br w:type="textWrapping"/>
      </w:r>
      <w:r>
        <w:rPr>
          <w:rFonts w:hint="eastAsia" w:asciiTheme="minorEastAsia" w:hAnsiTheme="minorEastAsia" w:eastAsiaTheme="minorEastAsia"/>
          <w:lang w:eastAsia="zh-CN"/>
        </w:rPr>
        <w:t>（a）不同投标人的投标文件由同一单位或者个人编制；</w:t>
      </w:r>
    </w:p>
    <w:p>
      <w:pPr>
        <w:tabs>
          <w:tab w:val="left" w:pos="1440"/>
        </w:tabs>
        <w:spacing w:line="360" w:lineRule="auto"/>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（b）不同投标人委托同一单位或者个人办理投标事宜；</w:t>
      </w:r>
    </w:p>
    <w:p>
      <w:pPr>
        <w:tabs>
          <w:tab w:val="left" w:pos="1440"/>
        </w:tabs>
        <w:spacing w:line="360" w:lineRule="auto"/>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（c）不同投标人的投标文件载明的项目管理成员为同一人；</w:t>
      </w:r>
    </w:p>
    <w:p>
      <w:pPr>
        <w:tabs>
          <w:tab w:val="left" w:pos="1440"/>
        </w:tabs>
        <w:spacing w:line="360" w:lineRule="auto"/>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（d）不同投标人的投标文件异常一致或者投标报价呈规律性差异；</w:t>
      </w:r>
    </w:p>
    <w:p>
      <w:pPr>
        <w:tabs>
          <w:tab w:val="left" w:pos="1440"/>
        </w:tabs>
        <w:spacing w:line="360" w:lineRule="auto"/>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（e）不同投标人的投标文件相互混装；</w:t>
      </w:r>
    </w:p>
    <w:p>
      <w:pPr>
        <w:spacing w:line="360" w:lineRule="auto"/>
        <w:ind w:left="1320" w:leftChars="200" w:hanging="880" w:hangingChars="400"/>
        <w:rPr>
          <w:rFonts w:asciiTheme="minorEastAsia" w:hAnsiTheme="minorEastAsia" w:eastAsiaTheme="minorEastAsia"/>
          <w:lang w:eastAsia="zh-CN"/>
        </w:rPr>
      </w:pPr>
      <w:r>
        <w:rPr>
          <w:rFonts w:hint="eastAsia" w:asciiTheme="minorEastAsia" w:hAnsiTheme="minorEastAsia" w:eastAsiaTheme="minorEastAsia"/>
          <w:lang w:eastAsia="zh-CN"/>
        </w:rPr>
        <w:t>（f）不同投标人的投标保证金从同一单位或者个人的账户转出。</w:t>
      </w:r>
    </w:p>
    <w:p>
      <w:pPr>
        <w:spacing w:line="360" w:lineRule="auto"/>
        <w:ind w:left="1320" w:hanging="1320" w:hangingChars="600"/>
        <w:rPr>
          <w:rFonts w:asciiTheme="minorEastAsia" w:hAnsiTheme="minorEastAsia" w:eastAsiaTheme="minorEastAsia"/>
          <w:bCs/>
          <w:lang w:eastAsia="zh-CN"/>
        </w:rPr>
      </w:pPr>
      <w:r>
        <w:rPr>
          <w:rFonts w:hint="eastAsia" w:asciiTheme="minorEastAsia" w:hAnsiTheme="minorEastAsia" w:eastAsiaTheme="minorEastAsia"/>
          <w:bCs/>
          <w:lang w:eastAsia="zh-CN"/>
        </w:rPr>
        <w:t>2</w:t>
      </w:r>
      <w:r>
        <w:rPr>
          <w:rFonts w:hint="eastAsia" w:asciiTheme="minorEastAsia" w:hAnsiTheme="minorEastAsia" w:eastAsiaTheme="minorEastAsia"/>
          <w:bCs/>
          <w:lang w:val="en-US" w:eastAsia="zh-CN"/>
        </w:rPr>
        <w:t>1</w:t>
      </w:r>
      <w:r>
        <w:rPr>
          <w:rFonts w:hint="eastAsia" w:asciiTheme="minorEastAsia" w:hAnsiTheme="minorEastAsia" w:eastAsiaTheme="minorEastAsia"/>
          <w:bCs/>
          <w:lang w:eastAsia="zh-CN"/>
        </w:rPr>
        <w:t xml:space="preserve">.6 </w:t>
      </w:r>
      <w:r>
        <w:rPr>
          <w:rFonts w:hint="eastAsia" w:asciiTheme="minorEastAsia" w:hAnsiTheme="minorEastAsia" w:eastAsiaTheme="minorEastAsia"/>
          <w:lang w:eastAsia="zh-CN"/>
        </w:rPr>
        <w:t>投标文件的详细评审</w:t>
      </w:r>
    </w:p>
    <w:p>
      <w:pPr>
        <w:spacing w:line="360" w:lineRule="auto"/>
        <w:ind w:left="752" w:hanging="752" w:hangingChars="342"/>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.6.1 评标委员会将按照本须知规定，只对确定为实质上响应招标文件要求的投标进行详细评审。</w:t>
      </w:r>
    </w:p>
    <w:p>
      <w:pPr>
        <w:spacing w:line="360" w:lineRule="auto"/>
        <w:ind w:left="770" w:hanging="770" w:hangingChars="3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.6.2 详细评审即以招标文件为依据，对所有实质上响应的投标分别从“商务”、“技术”、“价格”三个方面进行评审并按照百分制进行综合打分。</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.7中标人的确定</w:t>
      </w:r>
    </w:p>
    <w:p>
      <w:pPr>
        <w:spacing w:line="360" w:lineRule="auto"/>
        <w:ind w:left="752" w:hanging="752" w:hangingChars="342"/>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7.1评标委员会依据本招标文件“评标标准和方法”，对投标文件进行评审和比较，向招标人提交书面评标报告，并依次推荐综合得分排名位于前3位的合格投标人为中标候选人。如果二个投标人的综合评分相同时，取投标价格低者。综合评分和投标报价均相同的，取技术得分高者。</w:t>
      </w:r>
    </w:p>
    <w:p>
      <w:pPr>
        <w:spacing w:line="360" w:lineRule="auto"/>
        <w:ind w:left="752" w:hanging="752" w:hangingChars="342"/>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.7.2招标人根据评标委员会提出的书面评标报告和推荐的中标候选人，依据国家和地方现行法律法规确定中标人。</w:t>
      </w:r>
    </w:p>
    <w:p>
      <w:pPr>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2</w:t>
      </w:r>
      <w:r>
        <w:rPr>
          <w:rFonts w:hint="eastAsia" w:asciiTheme="minorEastAsia" w:hAnsiTheme="minorEastAsia" w:eastAsiaTheme="minorEastAsia"/>
          <w:b/>
          <w:bCs/>
          <w:lang w:val="en-US" w:eastAsia="zh-CN"/>
        </w:rPr>
        <w:t>2</w:t>
      </w:r>
      <w:r>
        <w:rPr>
          <w:rFonts w:hint="eastAsia" w:asciiTheme="minorEastAsia" w:hAnsiTheme="minorEastAsia" w:eastAsiaTheme="minorEastAsia"/>
          <w:b/>
          <w:bCs/>
          <w:lang w:eastAsia="zh-CN"/>
        </w:rPr>
        <w:t>. 与招标人和评标委员会的接触</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t>.1 除本须知的规定外，从开标之日起至授予合同期间，投标人不得就与其投标有关的事项与招标人以及评标委员会成员接触。</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t>.2 投标人试图对招标人和评标委员会的评标、比较或授予合同的决定进行影响，都可能导致其投标被拒绝。</w:t>
      </w:r>
    </w:p>
    <w:p>
      <w:pPr>
        <w:keepNext/>
        <w:keepLines/>
        <w:spacing w:before="260" w:after="260" w:line="360" w:lineRule="auto"/>
        <w:jc w:val="center"/>
        <w:outlineLvl w:val="1"/>
        <w:rPr>
          <w:rFonts w:cs="Arial" w:asciiTheme="minorEastAsia" w:hAnsiTheme="minorEastAsia" w:eastAsiaTheme="minorEastAsia"/>
          <w:b/>
          <w:bCs/>
          <w:w w:val="90"/>
          <w:lang w:eastAsia="zh-CN"/>
        </w:rPr>
      </w:pPr>
      <w:bookmarkStart w:id="139" w:name="_Toc236555298"/>
      <w:bookmarkStart w:id="140" w:name="_Toc49019223"/>
      <w:bookmarkStart w:id="141" w:name="_Toc465350689"/>
      <w:bookmarkStart w:id="142" w:name="_Toc319056980"/>
      <w:bookmarkStart w:id="143" w:name="_Toc47415930"/>
      <w:bookmarkStart w:id="144" w:name="_Toc99466907"/>
      <w:bookmarkStart w:id="145" w:name="_Toc47416184"/>
      <w:bookmarkStart w:id="146" w:name="_Toc411245403"/>
      <w:bookmarkStart w:id="147" w:name="_Toc29512"/>
      <w:r>
        <w:rPr>
          <w:rFonts w:hint="eastAsia" w:cs="Arial" w:asciiTheme="minorEastAsia" w:hAnsiTheme="minorEastAsia" w:eastAsiaTheme="minorEastAsia"/>
          <w:b/>
          <w:bCs/>
          <w:w w:val="90"/>
          <w:lang w:eastAsia="zh-CN"/>
        </w:rPr>
        <w:t>六、授予合同</w:t>
      </w:r>
      <w:bookmarkEnd w:id="139"/>
      <w:bookmarkEnd w:id="140"/>
      <w:bookmarkEnd w:id="141"/>
      <w:bookmarkEnd w:id="142"/>
      <w:bookmarkEnd w:id="143"/>
      <w:bookmarkEnd w:id="144"/>
      <w:bookmarkEnd w:id="145"/>
      <w:bookmarkEnd w:id="146"/>
      <w:bookmarkEnd w:id="147"/>
    </w:p>
    <w:p>
      <w:pPr>
        <w:spacing w:line="360" w:lineRule="auto"/>
        <w:ind w:left="552" w:hanging="552" w:hangingChars="250"/>
        <w:rPr>
          <w:rFonts w:asciiTheme="minorEastAsia" w:hAnsiTheme="minorEastAsia" w:eastAsiaTheme="minorEastAsia"/>
          <w:lang w:eastAsia="zh-CN"/>
        </w:rPr>
      </w:pPr>
      <w:r>
        <w:rPr>
          <w:rFonts w:hint="eastAsia" w:asciiTheme="minorEastAsia" w:hAnsiTheme="minorEastAsia" w:eastAsiaTheme="minorEastAsia"/>
          <w:b/>
          <w:bCs/>
          <w:lang w:eastAsia="zh-CN"/>
        </w:rPr>
        <w:t>2</w:t>
      </w:r>
      <w:r>
        <w:rPr>
          <w:rFonts w:hint="eastAsia" w:asciiTheme="minorEastAsia" w:hAnsiTheme="minorEastAsia" w:eastAsiaTheme="minorEastAsia"/>
          <w:b/>
          <w:bCs/>
          <w:lang w:val="en-US" w:eastAsia="zh-CN"/>
        </w:rPr>
        <w:t>3</w:t>
      </w:r>
      <w:r>
        <w:rPr>
          <w:rFonts w:hint="eastAsia" w:asciiTheme="minorEastAsia" w:hAnsiTheme="minorEastAsia" w:eastAsiaTheme="minorEastAsia"/>
          <w:b/>
          <w:bCs/>
          <w:lang w:eastAsia="zh-CN"/>
        </w:rPr>
        <w:t>. 合同授予标准</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3</w:t>
      </w:r>
      <w:r>
        <w:rPr>
          <w:rFonts w:hint="eastAsia" w:asciiTheme="minorEastAsia" w:hAnsiTheme="minorEastAsia" w:eastAsiaTheme="minorEastAsia"/>
          <w:lang w:eastAsia="zh-CN"/>
        </w:rPr>
        <w:t>.1 招标人将把合同授予被确定为实质上响应招标文件的要求并有履行合同能力的综合得分最高的投标人。</w:t>
      </w:r>
    </w:p>
    <w:p>
      <w:pPr>
        <w:spacing w:line="360" w:lineRule="auto"/>
        <w:ind w:left="552" w:hanging="552" w:hangingChars="250"/>
        <w:rPr>
          <w:rFonts w:asciiTheme="minorEastAsia" w:hAnsiTheme="minorEastAsia" w:eastAsiaTheme="minorEastAsia"/>
          <w:b/>
          <w:bCs/>
          <w:lang w:eastAsia="zh-CN"/>
        </w:rPr>
      </w:pPr>
      <w:r>
        <w:rPr>
          <w:rFonts w:hint="eastAsia" w:asciiTheme="minorEastAsia" w:hAnsiTheme="minorEastAsia" w:eastAsiaTheme="minorEastAsia"/>
          <w:b/>
          <w:bCs/>
          <w:lang w:eastAsia="zh-CN"/>
        </w:rPr>
        <w:t>2</w:t>
      </w:r>
      <w:r>
        <w:rPr>
          <w:rFonts w:hint="eastAsia" w:asciiTheme="minorEastAsia" w:hAnsiTheme="minorEastAsia" w:eastAsiaTheme="minorEastAsia"/>
          <w:b/>
          <w:bCs/>
          <w:lang w:val="en-US" w:eastAsia="zh-CN"/>
        </w:rPr>
        <w:t>4</w:t>
      </w:r>
      <w:r>
        <w:rPr>
          <w:rFonts w:hint="eastAsia" w:asciiTheme="minorEastAsia" w:hAnsiTheme="minorEastAsia" w:eastAsiaTheme="minorEastAsia"/>
          <w:b/>
          <w:bCs/>
          <w:lang w:eastAsia="zh-CN"/>
        </w:rPr>
        <w:t>. 授标时更改采购货物数量的权力</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t>.1 招标方在授予合同时有权在“投标人须知前附表”规定的幅度内对招标文件规定的货物数量和服务予以增加或减少，投标人不得对单价或其它的条款和条件做任何改变。</w:t>
      </w:r>
    </w:p>
    <w:p>
      <w:pPr>
        <w:spacing w:line="360" w:lineRule="auto"/>
        <w:ind w:left="552" w:hanging="552" w:hangingChars="250"/>
        <w:rPr>
          <w:rFonts w:asciiTheme="minorEastAsia" w:hAnsiTheme="minorEastAsia" w:eastAsiaTheme="minorEastAsia"/>
          <w:b/>
          <w:bCs/>
          <w:lang w:eastAsia="zh-CN"/>
        </w:rPr>
      </w:pPr>
      <w:r>
        <w:rPr>
          <w:rFonts w:hint="eastAsia" w:asciiTheme="minorEastAsia" w:hAnsiTheme="minorEastAsia" w:eastAsiaTheme="minorEastAsia"/>
          <w:b/>
          <w:bCs/>
          <w:lang w:eastAsia="zh-CN"/>
        </w:rPr>
        <w:t>2</w:t>
      </w:r>
      <w:r>
        <w:rPr>
          <w:rFonts w:hint="eastAsia" w:asciiTheme="minorEastAsia" w:hAnsiTheme="minorEastAsia" w:eastAsiaTheme="minorEastAsia"/>
          <w:b/>
          <w:bCs/>
          <w:lang w:val="en-US" w:eastAsia="zh-CN"/>
        </w:rPr>
        <w:t>5</w:t>
      </w:r>
      <w:r>
        <w:rPr>
          <w:rFonts w:hint="eastAsia" w:asciiTheme="minorEastAsia" w:hAnsiTheme="minorEastAsia" w:eastAsiaTheme="minorEastAsia"/>
          <w:b/>
          <w:bCs/>
          <w:lang w:eastAsia="zh-CN"/>
        </w:rPr>
        <w:t>. 招标人权利</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5</w:t>
      </w:r>
      <w:r>
        <w:rPr>
          <w:rFonts w:hint="eastAsia" w:asciiTheme="minorEastAsia" w:hAnsiTheme="minorEastAsia" w:eastAsiaTheme="minorEastAsia"/>
          <w:lang w:eastAsia="zh-CN"/>
        </w:rPr>
        <w:t>.1 在评标委员会专家评审结果的基础上有接受和拒绝任何或所有投标的权力。</w:t>
      </w:r>
    </w:p>
    <w:p>
      <w:pPr>
        <w:spacing w:line="360" w:lineRule="auto"/>
        <w:ind w:left="552" w:hanging="552" w:hangingChars="250"/>
        <w:rPr>
          <w:rFonts w:asciiTheme="minorEastAsia" w:hAnsiTheme="minorEastAsia" w:eastAsiaTheme="minorEastAsia"/>
          <w:b/>
          <w:bCs/>
          <w:lang w:eastAsia="zh-CN"/>
        </w:rPr>
      </w:pPr>
      <w:r>
        <w:rPr>
          <w:rFonts w:hint="eastAsia" w:asciiTheme="minorEastAsia" w:hAnsiTheme="minorEastAsia" w:eastAsiaTheme="minorEastAsia"/>
          <w:b/>
          <w:bCs/>
          <w:lang w:eastAsia="zh-CN"/>
        </w:rPr>
        <w:t>2</w:t>
      </w:r>
      <w:r>
        <w:rPr>
          <w:rFonts w:hint="eastAsia" w:asciiTheme="minorEastAsia" w:hAnsiTheme="minorEastAsia" w:eastAsiaTheme="minorEastAsia"/>
          <w:b/>
          <w:bCs/>
          <w:lang w:val="en-US" w:eastAsia="zh-CN"/>
        </w:rPr>
        <w:t>6</w:t>
      </w:r>
      <w:r>
        <w:rPr>
          <w:rFonts w:hint="eastAsia" w:asciiTheme="minorEastAsia" w:hAnsiTheme="minorEastAsia" w:eastAsiaTheme="minorEastAsia"/>
          <w:b/>
          <w:bCs/>
          <w:lang w:eastAsia="zh-CN"/>
        </w:rPr>
        <w:t>. 中标通知书</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6</w:t>
      </w:r>
      <w:r>
        <w:rPr>
          <w:rFonts w:hint="eastAsia" w:asciiTheme="minorEastAsia" w:hAnsiTheme="minorEastAsia" w:eastAsiaTheme="minorEastAsia"/>
          <w:lang w:eastAsia="zh-CN"/>
        </w:rPr>
        <w:t>.1 本项目中标候选人公示时间不少于3日，在公示期间，投标人或者其他利害关系人对评标结果有异议的，招标方自收到异议之日起3日内作出答复。中标人确定后，招标</w:t>
      </w:r>
      <w:r>
        <w:rPr>
          <w:rFonts w:hint="eastAsia" w:asciiTheme="minorEastAsia" w:hAnsiTheme="minorEastAsia" w:eastAsiaTheme="minorEastAsia"/>
          <w:lang w:val="en-US" w:eastAsia="zh-CN"/>
        </w:rPr>
        <w:t>方</w:t>
      </w:r>
      <w:r>
        <w:rPr>
          <w:rFonts w:hint="eastAsia" w:asciiTheme="minorEastAsia" w:hAnsiTheme="minorEastAsia" w:eastAsiaTheme="minorEastAsia"/>
          <w:lang w:eastAsia="zh-CN"/>
        </w:rPr>
        <w:t>将向中标人发出中标通知书。</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6</w:t>
      </w:r>
      <w:r>
        <w:rPr>
          <w:rFonts w:hint="eastAsia" w:asciiTheme="minorEastAsia" w:hAnsiTheme="minorEastAsia" w:eastAsiaTheme="minorEastAsia"/>
          <w:lang w:eastAsia="zh-CN"/>
        </w:rPr>
        <w:t>.2 中标通知书是合同的一个组成部分。</w:t>
      </w:r>
    </w:p>
    <w:p>
      <w:pPr>
        <w:spacing w:line="360" w:lineRule="auto"/>
        <w:ind w:left="552" w:hanging="552" w:hangingChars="250"/>
        <w:rPr>
          <w:rFonts w:asciiTheme="minorEastAsia" w:hAnsiTheme="minorEastAsia" w:eastAsiaTheme="minorEastAsia"/>
          <w:b/>
          <w:bCs/>
          <w:lang w:eastAsia="zh-CN"/>
        </w:rPr>
      </w:pPr>
      <w:r>
        <w:rPr>
          <w:rFonts w:hint="eastAsia" w:asciiTheme="minorEastAsia" w:hAnsiTheme="minorEastAsia" w:eastAsiaTheme="minorEastAsia"/>
          <w:b/>
          <w:bCs/>
          <w:lang w:eastAsia="zh-CN"/>
        </w:rPr>
        <w:t>2</w:t>
      </w:r>
      <w:r>
        <w:rPr>
          <w:rFonts w:hint="eastAsia" w:asciiTheme="minorEastAsia" w:hAnsiTheme="minorEastAsia" w:eastAsiaTheme="minorEastAsia"/>
          <w:b/>
          <w:bCs/>
          <w:lang w:val="en-US" w:eastAsia="zh-CN"/>
        </w:rPr>
        <w:t>7</w:t>
      </w:r>
      <w:r>
        <w:rPr>
          <w:rFonts w:hint="eastAsia" w:asciiTheme="minorEastAsia" w:hAnsiTheme="minorEastAsia" w:eastAsiaTheme="minorEastAsia"/>
          <w:b/>
          <w:bCs/>
          <w:lang w:eastAsia="zh-CN"/>
        </w:rPr>
        <w:t>. 签订合同</w:t>
      </w:r>
    </w:p>
    <w:p>
      <w:pPr>
        <w:spacing w:line="360" w:lineRule="auto"/>
        <w:ind w:left="550" w:hanging="550" w:hangingChars="250"/>
        <w:rPr>
          <w:rFonts w:hint="eastAsia"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7</w:t>
      </w:r>
      <w:r>
        <w:rPr>
          <w:rFonts w:hint="eastAsia" w:asciiTheme="minorEastAsia" w:hAnsiTheme="minorEastAsia" w:eastAsiaTheme="minorEastAsia"/>
          <w:lang w:eastAsia="zh-CN"/>
        </w:rPr>
        <w:t>.1中标人在收到招标</w:t>
      </w:r>
      <w:r>
        <w:rPr>
          <w:rFonts w:hint="eastAsia" w:asciiTheme="minorEastAsia" w:hAnsiTheme="minorEastAsia" w:eastAsiaTheme="minorEastAsia"/>
          <w:lang w:val="en-US" w:eastAsia="zh-CN"/>
        </w:rPr>
        <w:t>方</w:t>
      </w:r>
      <w:r>
        <w:rPr>
          <w:rFonts w:hint="eastAsia" w:asciiTheme="minorEastAsia" w:hAnsiTheme="minorEastAsia" w:eastAsiaTheme="minorEastAsia"/>
          <w:lang w:eastAsia="zh-CN"/>
        </w:rPr>
        <w:t>的中标通知书后十天内，应按招标文件的要求与招标人或指定代理人签订合同。</w:t>
      </w:r>
    </w:p>
    <w:p>
      <w:pPr>
        <w:spacing w:line="360" w:lineRule="auto"/>
        <w:ind w:left="550" w:hanging="550" w:hangingChars="250"/>
        <w:rPr>
          <w:rFonts w:hint="eastAsia" w:asciiTheme="minorEastAsia" w:hAnsiTheme="minorEastAsia" w:eastAsiaTheme="minorEastAsia"/>
          <w:lang w:eastAsia="zh-CN"/>
        </w:rPr>
      </w:pPr>
    </w:p>
    <w:p>
      <w:pPr>
        <w:spacing w:line="360" w:lineRule="auto"/>
        <w:ind w:left="552" w:hanging="552" w:hangingChars="250"/>
        <w:rPr>
          <w:rFonts w:asciiTheme="minorEastAsia" w:hAnsiTheme="minorEastAsia" w:eastAsiaTheme="minorEastAsia"/>
          <w:b/>
          <w:bCs/>
          <w:lang w:eastAsia="zh-CN"/>
        </w:rPr>
      </w:pPr>
      <w:bookmarkStart w:id="148" w:name="_Toc158713593"/>
      <w:bookmarkStart w:id="149" w:name="_Toc160427943"/>
      <w:bookmarkStart w:id="150" w:name="_Toc160427784"/>
      <w:r>
        <w:rPr>
          <w:rFonts w:hint="eastAsia" w:asciiTheme="minorEastAsia" w:hAnsiTheme="minorEastAsia" w:eastAsiaTheme="minorEastAsia"/>
          <w:b/>
          <w:bCs/>
          <w:lang w:val="en-US" w:eastAsia="zh-CN"/>
        </w:rPr>
        <w:t>28</w:t>
      </w:r>
      <w:r>
        <w:rPr>
          <w:rFonts w:hint="eastAsia" w:asciiTheme="minorEastAsia" w:hAnsiTheme="minorEastAsia" w:eastAsiaTheme="minorEastAsia"/>
          <w:b/>
          <w:bCs/>
          <w:lang w:eastAsia="zh-CN"/>
        </w:rPr>
        <w:t>． 知识产权</w:t>
      </w:r>
      <w:bookmarkEnd w:id="148"/>
      <w:bookmarkEnd w:id="149"/>
      <w:bookmarkEnd w:id="150"/>
    </w:p>
    <w:p>
      <w:pPr>
        <w:spacing w:line="360" w:lineRule="auto"/>
        <w:ind w:left="440" w:hanging="440" w:hangingChars="200"/>
        <w:rPr>
          <w:rFonts w:asciiTheme="minorEastAsia" w:hAnsiTheme="minorEastAsia" w:eastAsiaTheme="minorEastAsia"/>
          <w:lang w:eastAsia="zh-CN"/>
        </w:rPr>
      </w:pPr>
      <w:r>
        <w:rPr>
          <w:rFonts w:hint="eastAsia" w:asciiTheme="minorEastAsia" w:hAnsiTheme="minorEastAsia" w:eastAsiaTheme="minorEastAsia"/>
          <w:lang w:val="en-US" w:eastAsia="zh-CN"/>
        </w:rPr>
        <w:t>28</w:t>
      </w:r>
      <w:r>
        <w:rPr>
          <w:rFonts w:hint="eastAsia" w:asciiTheme="minorEastAsia" w:hAnsiTheme="minorEastAsia" w:eastAsiaTheme="minorEastAsia"/>
          <w:lang w:eastAsia="zh-CN"/>
        </w:rPr>
        <w:t>.1 招标人对中标人产品和服务的购买，包含完整的全部知识产权的授权使用。中标人应保证知识产权使用授权的完整性，并保证没有任何第三方针对招标人采购的产品和服务主张知识产权的使用许可的权利。</w:t>
      </w:r>
    </w:p>
    <w:p>
      <w:pPr>
        <w:spacing w:line="360" w:lineRule="auto"/>
        <w:ind w:left="440" w:hanging="440" w:hangingChars="200"/>
        <w:rPr>
          <w:rFonts w:asciiTheme="minorEastAsia" w:hAnsiTheme="minorEastAsia" w:eastAsiaTheme="minorEastAsia"/>
          <w:lang w:eastAsia="zh-CN"/>
        </w:rPr>
      </w:pPr>
      <w:r>
        <w:rPr>
          <w:rFonts w:hint="eastAsia" w:asciiTheme="minorEastAsia" w:hAnsiTheme="minorEastAsia" w:eastAsiaTheme="minorEastAsia"/>
          <w:lang w:val="en-US" w:eastAsia="zh-CN"/>
        </w:rPr>
        <w:t>28</w:t>
      </w:r>
      <w:r>
        <w:rPr>
          <w:rFonts w:hint="eastAsia" w:asciiTheme="minorEastAsia" w:hAnsiTheme="minorEastAsia" w:eastAsiaTheme="minorEastAsia"/>
          <w:lang w:eastAsia="zh-CN"/>
        </w:rPr>
        <w:t>.2 当任何单位或个人就知识产权的使用许可主张权利的时候，该项主张自动指向中标人；任何涉及的法律诉讼，也都自动指向中标人；招标人不承担任何责任。</w:t>
      </w:r>
    </w:p>
    <w:p>
      <w:pPr>
        <w:spacing w:line="360" w:lineRule="auto"/>
        <w:ind w:left="440" w:hanging="440" w:hangingChars="200"/>
        <w:rPr>
          <w:rFonts w:asciiTheme="minorEastAsia" w:hAnsiTheme="minorEastAsia" w:eastAsiaTheme="minorEastAsia"/>
          <w:lang w:eastAsia="zh-CN"/>
        </w:rPr>
      </w:pPr>
      <w:r>
        <w:rPr>
          <w:rFonts w:hint="eastAsia" w:asciiTheme="minorEastAsia" w:hAnsiTheme="minorEastAsia" w:eastAsiaTheme="minorEastAsia"/>
          <w:lang w:val="en-US" w:eastAsia="zh-CN"/>
        </w:rPr>
        <w:t>28</w:t>
      </w:r>
      <w:r>
        <w:rPr>
          <w:rFonts w:hint="eastAsia" w:asciiTheme="minorEastAsia" w:hAnsiTheme="minorEastAsia" w:eastAsiaTheme="minorEastAsia"/>
          <w:lang w:eastAsia="zh-CN"/>
        </w:rPr>
        <w:t>.3 如第三方对合同标的物主张所有权或知识产权的侵权损害赔偿请求，招标人有权依据有关规定解除合同，并追究中标人的违约责任。在合同履行过程中，招标人有确切证据证明第三人可能就合同标的物主张权利的，招标人有权中止支付相应的价款，但中标人提供适当担保的除外。</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val="en-US" w:eastAsia="zh-CN"/>
        </w:rPr>
        <w:t>28</w:t>
      </w:r>
      <w:r>
        <w:rPr>
          <w:rFonts w:hint="eastAsia" w:asciiTheme="minorEastAsia" w:hAnsiTheme="minorEastAsia" w:eastAsiaTheme="minorEastAsia"/>
          <w:lang w:eastAsia="zh-CN"/>
        </w:rPr>
        <w:t>.4 因为第三人对招标人主张权利而发生的纠纷，中标人应承担相应的法律责任和诉讼费用、律师费用、其他为解除纠纷而发生的费用以及由此给招标人造成的经济损失。</w:t>
      </w:r>
    </w:p>
    <w:p>
      <w:pPr>
        <w:spacing w:line="360" w:lineRule="auto"/>
        <w:ind w:left="550" w:hanging="550" w:hangingChars="250"/>
        <w:rPr>
          <w:rFonts w:asciiTheme="minorEastAsia" w:hAnsiTheme="minorEastAsia" w:eastAsiaTheme="minorEastAsia"/>
          <w:lang w:eastAsia="zh-CN"/>
        </w:rPr>
      </w:pPr>
    </w:p>
    <w:p>
      <w:pPr>
        <w:spacing w:line="360" w:lineRule="auto"/>
        <w:ind w:left="550" w:hanging="550" w:hangingChars="250"/>
        <w:rPr>
          <w:rFonts w:asciiTheme="minorEastAsia" w:hAnsiTheme="minorEastAsia" w:eastAsiaTheme="minorEastAsia"/>
          <w:lang w:eastAsia="zh-CN"/>
        </w:rPr>
        <w:sectPr>
          <w:pgSz w:w="11906" w:h="16838"/>
          <w:pgMar w:top="1089" w:right="1599" w:bottom="1089" w:left="1599" w:header="851" w:footer="850" w:gutter="0"/>
          <w:pgNumType w:fmt="decimal"/>
          <w:cols w:space="0" w:num="1"/>
          <w:docGrid w:linePitch="312" w:charSpace="0"/>
        </w:sectPr>
      </w:pPr>
    </w:p>
    <w:p>
      <w:pPr>
        <w:rPr>
          <w:rFonts w:asciiTheme="minorEastAsia" w:hAnsiTheme="minorEastAsia" w:eastAsiaTheme="minorEastAsia"/>
          <w:lang w:eastAsia="zh-CN"/>
        </w:rPr>
      </w:pPr>
      <w:bookmarkStart w:id="151" w:name="_Toc319056981"/>
      <w:bookmarkStart w:id="152" w:name="_Toc47416185"/>
      <w:bookmarkStart w:id="153" w:name="_Toc236555299"/>
      <w:bookmarkStart w:id="154" w:name="_Toc99466908"/>
      <w:bookmarkStart w:id="155" w:name="_Toc47415931"/>
      <w:bookmarkStart w:id="156" w:name="_Toc49019224"/>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keepNext/>
        <w:keepLines/>
        <w:tabs>
          <w:tab w:val="left" w:pos="2160"/>
        </w:tabs>
        <w:spacing w:before="340" w:after="330" w:line="360" w:lineRule="auto"/>
        <w:jc w:val="center"/>
        <w:outlineLvl w:val="0"/>
        <w:rPr>
          <w:rFonts w:asciiTheme="minorEastAsia" w:hAnsiTheme="minorEastAsia" w:eastAsiaTheme="minorEastAsia"/>
          <w:b/>
          <w:bCs/>
          <w:kern w:val="44"/>
          <w:lang w:eastAsia="zh-CN"/>
        </w:rPr>
      </w:pPr>
      <w:bookmarkStart w:id="157" w:name="_Toc465350690"/>
      <w:bookmarkStart w:id="158" w:name="_Toc411245404"/>
      <w:bookmarkStart w:id="159" w:name="_Toc32096"/>
      <w:r>
        <w:rPr>
          <w:rFonts w:hint="eastAsia" w:ascii="宋体" w:hAnsi="宋体"/>
          <w:b/>
          <w:bCs/>
          <w:kern w:val="44"/>
          <w:sz w:val="44"/>
          <w:szCs w:val="36"/>
          <w:lang w:eastAsia="zh-CN" w:bidi="ar-SA"/>
        </w:rPr>
        <w:t>第四章  合同专用条款</w:t>
      </w:r>
      <w:bookmarkEnd w:id="151"/>
      <w:bookmarkEnd w:id="152"/>
      <w:bookmarkEnd w:id="153"/>
      <w:bookmarkEnd w:id="154"/>
      <w:bookmarkEnd w:id="155"/>
      <w:bookmarkEnd w:id="156"/>
      <w:bookmarkEnd w:id="157"/>
      <w:bookmarkEnd w:id="158"/>
      <w:bookmarkEnd w:id="159"/>
    </w:p>
    <w:p>
      <w:pPr>
        <w:ind w:firstLine="440" w:firstLineChars="200"/>
        <w:rPr>
          <w:rFonts w:asciiTheme="minorEastAsia" w:hAnsiTheme="minorEastAsia" w:eastAsiaTheme="minorEastAsia"/>
          <w:lang w:eastAsia="zh-CN"/>
        </w:rPr>
      </w:pPr>
      <w:r>
        <w:rPr>
          <w:rFonts w:asciiTheme="minorEastAsia" w:hAnsiTheme="minorEastAsia" w:eastAsiaTheme="minorEastAsia"/>
          <w:color w:val="000000"/>
          <w:lang w:eastAsia="zh-CN"/>
        </w:rPr>
        <w:t>中标方选定后</w:t>
      </w:r>
      <w:r>
        <w:rPr>
          <w:rFonts w:hint="eastAsia" w:asciiTheme="minorEastAsia" w:hAnsiTheme="minorEastAsia" w:eastAsiaTheme="minorEastAsia"/>
          <w:color w:val="000000"/>
          <w:lang w:eastAsia="zh-CN"/>
        </w:rPr>
        <w:t>，双方签署相关合同约定权利</w:t>
      </w:r>
      <w:r>
        <w:rPr>
          <w:rFonts w:hint="eastAsia" w:asciiTheme="minorEastAsia" w:hAnsiTheme="minorEastAsia" w:eastAsiaTheme="minorEastAsia"/>
          <w:color w:val="000000"/>
          <w:lang w:val="en-US" w:eastAsia="zh-CN"/>
        </w:rPr>
        <w:t>义务</w:t>
      </w:r>
      <w:r>
        <w:rPr>
          <w:rFonts w:hint="eastAsia" w:asciiTheme="minorEastAsia" w:hAnsiTheme="minorEastAsia" w:eastAsiaTheme="minorEastAsia"/>
          <w:color w:val="000000"/>
          <w:lang w:eastAsia="zh-CN"/>
        </w:rPr>
        <w:t>、付款方式、验收方式等相关事宜。</w:t>
      </w:r>
      <w:r>
        <w:rPr>
          <w:rFonts w:hint="eastAsia" w:asciiTheme="minorEastAsia" w:hAnsiTheme="minorEastAsia" w:eastAsiaTheme="minorEastAsia"/>
          <w:b/>
          <w:bCs/>
          <w:lang w:eastAsia="zh-CN"/>
        </w:rPr>
        <w:br w:type="page"/>
      </w:r>
      <w:bookmarkStart w:id="160" w:name="_Toc49019225"/>
      <w:bookmarkStart w:id="161" w:name="_Toc236555300"/>
      <w:bookmarkStart w:id="162" w:name="_Toc47416186"/>
      <w:bookmarkStart w:id="163" w:name="_Toc47415932"/>
      <w:bookmarkStart w:id="164" w:name="_Toc324152520"/>
      <w:bookmarkStart w:id="165" w:name="_Toc99466909"/>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keepNext/>
        <w:keepLines/>
        <w:tabs>
          <w:tab w:val="left" w:pos="2160"/>
        </w:tabs>
        <w:spacing w:before="340" w:after="330" w:line="360" w:lineRule="auto"/>
        <w:jc w:val="center"/>
        <w:outlineLvl w:val="0"/>
        <w:rPr>
          <w:rFonts w:ascii="宋体" w:hAnsi="宋体"/>
          <w:b/>
          <w:bCs/>
          <w:kern w:val="44"/>
          <w:sz w:val="44"/>
          <w:szCs w:val="36"/>
          <w:lang w:eastAsia="zh-CN" w:bidi="ar-SA"/>
        </w:rPr>
      </w:pPr>
      <w:bookmarkStart w:id="166" w:name="_Toc465350691"/>
      <w:bookmarkStart w:id="167" w:name="_Toc411245405"/>
      <w:bookmarkStart w:id="168" w:name="_Toc2251"/>
      <w:r>
        <w:rPr>
          <w:rFonts w:hint="eastAsia" w:ascii="宋体" w:hAnsi="宋体"/>
          <w:b/>
          <w:bCs/>
          <w:kern w:val="44"/>
          <w:sz w:val="44"/>
          <w:szCs w:val="36"/>
          <w:lang w:eastAsia="zh-CN" w:bidi="ar-SA"/>
        </w:rPr>
        <w:t>第五章 合同通用条款</w:t>
      </w:r>
      <w:bookmarkEnd w:id="160"/>
      <w:bookmarkEnd w:id="161"/>
      <w:bookmarkEnd w:id="162"/>
      <w:bookmarkEnd w:id="163"/>
      <w:bookmarkEnd w:id="164"/>
      <w:bookmarkEnd w:id="166"/>
      <w:bookmarkEnd w:id="167"/>
      <w:bookmarkEnd w:id="168"/>
    </w:p>
    <w:bookmarkEnd w:id="165"/>
    <w:p>
      <w:pPr>
        <w:spacing w:after="120" w:afterLines="50" w:line="360" w:lineRule="auto"/>
        <w:jc w:val="center"/>
        <w:rPr>
          <w:rFonts w:asciiTheme="minorEastAsia" w:hAnsiTheme="minorEastAsia" w:eastAsiaTheme="minorEastAsia"/>
          <w:lang w:eastAsia="zh-CN"/>
        </w:rPr>
      </w:pPr>
      <w:bookmarkStart w:id="169" w:name="_Toc236555302"/>
      <w:bookmarkStart w:id="170" w:name="_Toc324152522"/>
      <w:r>
        <w:rPr>
          <w:rFonts w:asciiTheme="minorEastAsia" w:hAnsiTheme="minorEastAsia" w:eastAsiaTheme="minorEastAsia"/>
          <w:color w:val="000000"/>
          <w:lang w:eastAsia="zh-CN"/>
        </w:rPr>
        <w:t>中标方选定后</w:t>
      </w:r>
      <w:r>
        <w:rPr>
          <w:rFonts w:hint="eastAsia" w:asciiTheme="minorEastAsia" w:hAnsiTheme="minorEastAsia" w:eastAsiaTheme="minorEastAsia"/>
          <w:color w:val="000000"/>
          <w:lang w:eastAsia="zh-CN"/>
        </w:rPr>
        <w:t>，双方签署相关合同约定权利</w:t>
      </w:r>
      <w:r>
        <w:rPr>
          <w:rFonts w:hint="eastAsia" w:asciiTheme="minorEastAsia" w:hAnsiTheme="minorEastAsia" w:eastAsiaTheme="minorEastAsia"/>
          <w:color w:val="000000"/>
          <w:lang w:val="en-US" w:eastAsia="zh-CN"/>
        </w:rPr>
        <w:t>义务</w:t>
      </w:r>
      <w:r>
        <w:rPr>
          <w:rFonts w:hint="eastAsia" w:asciiTheme="minorEastAsia" w:hAnsiTheme="minorEastAsia" w:eastAsiaTheme="minorEastAsia"/>
          <w:color w:val="000000"/>
          <w:lang w:eastAsia="zh-CN"/>
        </w:rPr>
        <w:t>、付款方式、验收方式等相关事宜。</w:t>
      </w:r>
    </w:p>
    <w:p>
      <w:pPr>
        <w:spacing w:after="120" w:afterLines="50" w:line="360" w:lineRule="auto"/>
        <w:ind w:left="720"/>
        <w:rPr>
          <w:rFonts w:asciiTheme="minorEastAsia" w:hAnsiTheme="minorEastAsia" w:eastAsiaTheme="minorEastAsia"/>
          <w:lang w:eastAsia="zh-CN"/>
        </w:rPr>
      </w:pPr>
    </w:p>
    <w:p>
      <w:pPr>
        <w:spacing w:line="360" w:lineRule="auto"/>
        <w:rPr>
          <w:rFonts w:asciiTheme="minorEastAsia" w:hAnsiTheme="minorEastAsia" w:eastAsiaTheme="minorEastAsia"/>
          <w:b/>
          <w:bCs/>
          <w:lang w:eastAsia="zh-CN"/>
        </w:rPr>
      </w:pPr>
    </w:p>
    <w:p>
      <w:pPr>
        <w:spacing w:line="360" w:lineRule="auto"/>
        <w:ind w:left="550" w:hanging="550" w:hangingChars="250"/>
        <w:rPr>
          <w:rFonts w:asciiTheme="minorEastAsia" w:hAnsiTheme="minorEastAsia" w:eastAsiaTheme="minorEastAsia"/>
          <w:lang w:eastAsia="zh-CN"/>
        </w:rPr>
        <w:sectPr>
          <w:headerReference r:id="rId11" w:type="default"/>
          <w:pgSz w:w="11906" w:h="16838"/>
          <w:pgMar w:top="1089" w:right="1599" w:bottom="1089" w:left="1599" w:header="851" w:footer="850" w:gutter="0"/>
          <w:pgNumType w:fmt="decimal"/>
          <w:cols w:space="0" w:num="1"/>
          <w:docGrid w:linePitch="312" w:charSpace="0"/>
        </w:sectPr>
      </w:pPr>
    </w:p>
    <w:p>
      <w:pPr>
        <w:spacing w:line="360" w:lineRule="auto"/>
        <w:jc w:val="center"/>
        <w:rPr>
          <w:rFonts w:asciiTheme="minorEastAsia" w:hAnsiTheme="minorEastAsia" w:eastAsiaTheme="minorEastAsia"/>
          <w:lang w:eastAsia="zh-CN"/>
        </w:rPr>
      </w:pPr>
    </w:p>
    <w:p>
      <w:pPr>
        <w:spacing w:line="360" w:lineRule="auto"/>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keepNext/>
        <w:keepLines/>
        <w:tabs>
          <w:tab w:val="left" w:pos="2160"/>
        </w:tabs>
        <w:spacing w:before="340" w:after="330" w:line="360" w:lineRule="auto"/>
        <w:jc w:val="center"/>
        <w:outlineLvl w:val="0"/>
        <w:rPr>
          <w:rFonts w:ascii="宋体" w:hAnsi="宋体"/>
          <w:b/>
          <w:bCs/>
          <w:color w:val="000000"/>
          <w:kern w:val="44"/>
          <w:sz w:val="44"/>
          <w:szCs w:val="36"/>
          <w:lang w:eastAsia="zh-CN" w:bidi="ar-SA"/>
        </w:rPr>
        <w:sectPr>
          <w:pgSz w:w="11906" w:h="16838"/>
          <w:pgMar w:top="1089" w:right="1599" w:bottom="1089" w:left="1599" w:header="851" w:footer="850" w:gutter="0"/>
          <w:pgNumType w:fmt="decimal"/>
          <w:cols w:space="0" w:num="1"/>
        </w:sectPr>
      </w:pPr>
      <w:bookmarkStart w:id="171" w:name="_Toc411245419"/>
      <w:bookmarkStart w:id="172" w:name="_Toc30053"/>
      <w:bookmarkStart w:id="173" w:name="_Toc465350705"/>
      <w:r>
        <w:rPr>
          <w:rFonts w:hint="eastAsia" w:ascii="宋体" w:hAnsi="宋体"/>
          <w:b/>
          <w:bCs/>
          <w:color w:val="000000"/>
          <w:kern w:val="44"/>
          <w:sz w:val="44"/>
          <w:szCs w:val="36"/>
          <w:lang w:eastAsia="zh-CN" w:bidi="ar-SA"/>
        </w:rPr>
        <w:t>第六章  服务及技术要</w:t>
      </w:r>
      <w:bookmarkEnd w:id="169"/>
      <w:bookmarkEnd w:id="170"/>
      <w:bookmarkEnd w:id="171"/>
      <w:r>
        <w:rPr>
          <w:rFonts w:hint="eastAsia" w:ascii="宋体" w:hAnsi="宋体"/>
          <w:b/>
          <w:bCs/>
          <w:color w:val="000000"/>
          <w:kern w:val="44"/>
          <w:sz w:val="44"/>
          <w:szCs w:val="36"/>
          <w:lang w:eastAsia="zh-CN" w:bidi="ar-SA"/>
        </w:rPr>
        <w:t>求</w:t>
      </w:r>
      <w:bookmarkEnd w:id="172"/>
      <w:bookmarkEnd w:id="173"/>
    </w:p>
    <w:p>
      <w:pPr>
        <w:pStyle w:val="492"/>
        <w:ind w:left="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招标内容：</w:t>
      </w:r>
    </w:p>
    <w:p>
      <w:pPr>
        <w:pStyle w:val="492"/>
        <w:ind w:left="0"/>
        <w:rPr>
          <w:rFonts w:hint="eastAsia" w:asciiTheme="minorEastAsia" w:hAnsiTheme="minorEastAsia" w:eastAsiaTheme="minorEastAsia"/>
          <w:lang w:eastAsia="zh-CN"/>
        </w:rPr>
      </w:pPr>
      <w:r>
        <w:rPr>
          <w:rFonts w:hint="eastAsia" w:asciiTheme="minorEastAsia" w:hAnsiTheme="minorEastAsia" w:eastAsiaTheme="minorEastAsia" w:cstheme="minorEastAsia"/>
          <w:lang w:eastAsia="zh-CN"/>
        </w:rPr>
        <w:t>1</w:t>
      </w:r>
      <w:r>
        <w:rPr>
          <w:rFonts w:asciiTheme="minorEastAsia" w:hAnsiTheme="minorEastAsia" w:eastAsiaTheme="minorEastAsia" w:cstheme="minorEastAsia"/>
          <w:lang w:eastAsia="zh-CN"/>
        </w:rPr>
        <w:t>.</w:t>
      </w:r>
      <w:r>
        <w:rPr>
          <w:rFonts w:hint="eastAsia" w:asciiTheme="minorEastAsia" w:hAnsiTheme="minorEastAsia" w:eastAsiaTheme="minorEastAsia" w:cstheme="minorEastAsia"/>
          <w:lang w:eastAsia="zh-CN"/>
        </w:rPr>
        <w:t>项目内容：</w:t>
      </w:r>
      <w:r>
        <w:rPr>
          <w:rFonts w:hint="eastAsia" w:asciiTheme="minorEastAsia" w:hAnsiTheme="minorEastAsia" w:eastAsiaTheme="minorEastAsia"/>
          <w:lang w:eastAsia="zh-CN"/>
        </w:rPr>
        <w:t>2022年中国（</w:t>
      </w:r>
      <w:r>
        <w:rPr>
          <w:rFonts w:hint="eastAsia" w:asciiTheme="minorEastAsia" w:hAnsiTheme="minorEastAsia" w:eastAsiaTheme="minorEastAsia"/>
          <w:lang w:val="en-US" w:eastAsia="zh-CN"/>
        </w:rPr>
        <w:t>厦门</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跨境电商展</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以下简称“跨境电商展”</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综合</w:t>
      </w:r>
      <w:r>
        <w:rPr>
          <w:rFonts w:hint="eastAsia" w:asciiTheme="minorEastAsia" w:hAnsiTheme="minorEastAsia" w:eastAsiaTheme="minorEastAsia"/>
          <w:lang w:eastAsia="zh-CN"/>
        </w:rPr>
        <w:t>运营服务</w:t>
      </w:r>
    </w:p>
    <w:p>
      <w:pPr>
        <w:pStyle w:val="492"/>
        <w:ind w:left="0" w:leftChars="0" w:firstLine="0" w:firstLineChars="0"/>
        <w:rPr>
          <w:rFonts w:hint="default" w:asciiTheme="minorEastAsia" w:hAnsiTheme="minorEastAsia" w:eastAsiaTheme="minorEastAsia" w:cstheme="minorEastAsia"/>
          <w:lang w:val="en-US" w:eastAsia="zh-CN"/>
        </w:rPr>
      </w:pPr>
      <w:r>
        <w:rPr>
          <w:rFonts w:asciiTheme="minorEastAsia" w:hAnsiTheme="minorEastAsia" w:eastAsiaTheme="minorEastAsia" w:cstheme="minorEastAsia"/>
          <w:lang w:eastAsia="zh-CN"/>
        </w:rPr>
        <w:t>2</w:t>
      </w:r>
      <w:r>
        <w:rPr>
          <w:rFonts w:hint="eastAsia" w:asciiTheme="minorEastAsia" w:hAnsiTheme="minorEastAsia" w:eastAsiaTheme="minorEastAsia" w:cstheme="minorEastAsia"/>
          <w:lang w:eastAsia="zh-CN"/>
        </w:rPr>
        <w:t>.举办地场馆名称：</w:t>
      </w:r>
      <w:r>
        <w:rPr>
          <w:rFonts w:hint="eastAsia" w:asciiTheme="minorEastAsia" w:hAnsiTheme="minorEastAsia" w:eastAsiaTheme="minorEastAsia" w:cstheme="minorEastAsia"/>
          <w:lang w:val="en-US" w:eastAsia="zh-CN"/>
        </w:rPr>
        <w:t>厦门国际会议展览中心A3-A6、C1-C5厅。</w:t>
      </w:r>
    </w:p>
    <w:p>
      <w:pPr>
        <w:pStyle w:val="492"/>
        <w:ind w:left="0"/>
        <w:rPr>
          <w:rFonts w:asciiTheme="minorEastAsia" w:hAnsiTheme="minorEastAsia" w:eastAsiaTheme="minorEastAsia"/>
          <w:lang w:eastAsia="zh-CN"/>
        </w:rPr>
      </w:pPr>
      <w:r>
        <w:rPr>
          <w:rFonts w:asciiTheme="minorEastAsia" w:hAnsiTheme="minorEastAsia" w:eastAsiaTheme="minorEastAsia" w:cstheme="minorEastAsia"/>
          <w:lang w:eastAsia="zh-CN"/>
        </w:rPr>
        <w:t>3</w:t>
      </w:r>
      <w:r>
        <w:rPr>
          <w:rFonts w:hint="eastAsia" w:asciiTheme="minorEastAsia" w:hAnsiTheme="minorEastAsia" w:eastAsiaTheme="minorEastAsia" w:cstheme="minorEastAsia"/>
          <w:lang w:eastAsia="zh-CN"/>
        </w:rPr>
        <w:t>.举办时间：</w:t>
      </w:r>
      <w:r>
        <w:rPr>
          <w:rFonts w:hint="eastAsia" w:asciiTheme="minorEastAsia" w:hAnsiTheme="minorEastAsia" w:eastAsiaTheme="minorEastAsia" w:cstheme="minorEastAsia"/>
          <w:lang w:val="en-US" w:eastAsia="zh-CN"/>
        </w:rPr>
        <w:t>2022年6月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暂定）</w:t>
      </w:r>
    </w:p>
    <w:p>
      <w:pPr>
        <w:pStyle w:val="114"/>
        <w:bidi w:val="0"/>
        <w:ind w:left="360" w:leftChars="0" w:hanging="360" w:firstLineChars="0"/>
        <w:rPr>
          <w:rFonts w:hint="eastAsia"/>
          <w:lang w:eastAsia="zh-CN"/>
        </w:rPr>
      </w:pPr>
      <w:r>
        <w:rPr>
          <w:rFonts w:hint="eastAsia"/>
          <w:lang w:eastAsia="zh-CN"/>
        </w:rPr>
        <w:t>技术要求：</w:t>
      </w:r>
    </w:p>
    <w:p>
      <w:pPr>
        <w:pStyle w:val="114"/>
        <w:numPr>
          <w:ilvl w:val="0"/>
          <w:numId w:val="0"/>
        </w:numPr>
        <w:bidi w:val="0"/>
        <w:ind w:leftChars="0"/>
        <w:rPr>
          <w:rFonts w:hint="default"/>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主场服务部分</w:t>
      </w:r>
    </w:p>
    <w:p>
      <w:pPr>
        <w:rPr>
          <w:rFonts w:cs="Arial" w:asciiTheme="minorEastAsia" w:hAnsiTheme="minorEastAsia" w:eastAsiaTheme="minorEastAsia"/>
          <w:b/>
          <w:bCs/>
          <w:color w:val="000000"/>
          <w:lang w:eastAsia="zh-CN"/>
        </w:rPr>
      </w:pPr>
      <w:r>
        <w:rPr>
          <w:rFonts w:hint="eastAsia" w:asciiTheme="minorEastAsia" w:hAnsiTheme="minorEastAsia" w:eastAsiaTheme="minorEastAsia" w:cstheme="minorEastAsia"/>
          <w:b w:val="0"/>
          <w:bCs w:val="0"/>
          <w:lang w:val="en-US" w:eastAsia="zh-CN"/>
        </w:rPr>
        <w:t>1.</w:t>
      </w:r>
      <w:r>
        <w:rPr>
          <w:rFonts w:cs="Arial" w:asciiTheme="minorEastAsia" w:hAnsiTheme="minorEastAsia" w:eastAsiaTheme="minorEastAsia"/>
          <w:b w:val="0"/>
          <w:bCs w:val="0"/>
          <w:color w:val="000000"/>
          <w:lang w:eastAsia="zh-CN"/>
        </w:rPr>
        <w:t xml:space="preserve"> </w:t>
      </w:r>
      <w:r>
        <w:rPr>
          <w:rFonts w:hint="eastAsia" w:cs="Arial" w:asciiTheme="minorEastAsia" w:hAnsiTheme="minorEastAsia" w:eastAsiaTheme="minorEastAsia"/>
          <w:b w:val="0"/>
          <w:bCs w:val="0"/>
          <w:color w:val="000000"/>
          <w:lang w:eastAsia="zh-CN"/>
        </w:rPr>
        <w:t>展会前期服务内容</w:t>
      </w:r>
    </w:p>
    <w:p>
      <w:pPr>
        <w:rPr>
          <w:rFonts w:hint="default" w:cs="Arial" w:asciiTheme="minorEastAsia" w:hAnsiTheme="minorEastAsia" w:eastAsiaTheme="minorEastAsia"/>
          <w:color w:val="000000"/>
          <w:lang w:val="en-US" w:eastAsia="zh-CN"/>
        </w:rPr>
      </w:pPr>
      <w:r>
        <w:rPr>
          <w:rFonts w:hint="eastAsia" w:cs="Arial" w:asciiTheme="minorEastAsia" w:hAnsiTheme="minorEastAsia" w:eastAsiaTheme="minorEastAsia"/>
          <w:color w:val="000000"/>
          <w:lang w:eastAsia="zh-CN"/>
        </w:rPr>
        <w:t>1.1协助招标方对展会场地进行考察和总体规划，</w:t>
      </w:r>
      <w:r>
        <w:rPr>
          <w:rFonts w:hint="eastAsia" w:cs="Arial" w:asciiTheme="minorEastAsia" w:hAnsiTheme="minorEastAsia" w:eastAsiaTheme="minorEastAsia"/>
          <w:color w:val="000000"/>
          <w:lang w:val="en-US" w:eastAsia="zh-CN"/>
        </w:rPr>
        <w:t>并按要求完成展区平面图的规划。（展会使用A3-A6、C1-C5厅，根据附件的CAD图制定符合跨境电商展行业特性的展区、展位平面规划，至少设置2个不少于350人的分会场，1个不得少于600人，并在C3大堂设置不少于150人的开幕式会场，展位、展区规划须充分利用展厅空间，动线合理且符合公安、消防等相关安全规定）</w:t>
      </w:r>
    </w:p>
    <w:p>
      <w:pPr>
        <w:rPr>
          <w:rFonts w:asciiTheme="minorEastAsia" w:hAnsiTheme="minorEastAsia" w:eastAsiaTheme="minorEastAsia" w:cstheme="minorEastAsia"/>
          <w:lang w:eastAsia="zh-CN"/>
        </w:rPr>
      </w:pPr>
      <w:r>
        <w:rPr>
          <w:rFonts w:hint="eastAsia" w:cs="Arial" w:asciiTheme="minorEastAsia" w:hAnsiTheme="minorEastAsia" w:eastAsiaTheme="minorEastAsia"/>
          <w:color w:val="000000"/>
          <w:lang w:eastAsia="zh-CN"/>
        </w:rPr>
        <w:t xml:space="preserve">1.2 </w:t>
      </w:r>
      <w:r>
        <w:rPr>
          <w:rFonts w:hint="eastAsia" w:cs="Arial" w:asciiTheme="minorEastAsia" w:hAnsiTheme="minorEastAsia" w:eastAsiaTheme="minorEastAsia"/>
          <w:color w:val="000000"/>
          <w:lang w:val="en-US" w:eastAsia="zh-CN"/>
        </w:rPr>
        <w:t>负责</w:t>
      </w:r>
      <w:r>
        <w:rPr>
          <w:rFonts w:hint="eastAsia" w:cs="Arial" w:asciiTheme="minorEastAsia" w:hAnsiTheme="minorEastAsia" w:eastAsiaTheme="minorEastAsia"/>
          <w:color w:val="000000"/>
          <w:lang w:eastAsia="zh-CN"/>
        </w:rPr>
        <w:t>完成布撤展期间现场施工管理流程的建立与完善。</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cs="Arial" w:asciiTheme="minorEastAsia" w:hAnsiTheme="minorEastAsia" w:eastAsiaTheme="minorEastAsia"/>
          <w:color w:val="000000"/>
          <w:lang w:eastAsia="zh-CN"/>
        </w:rPr>
        <w:t>.3</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lang w:val="en-US" w:eastAsia="zh-CN"/>
        </w:rPr>
        <w:t>负责</w:t>
      </w:r>
      <w:r>
        <w:rPr>
          <w:rFonts w:hint="eastAsia" w:asciiTheme="minorEastAsia" w:hAnsiTheme="minorEastAsia" w:eastAsiaTheme="minorEastAsia" w:cstheme="minorEastAsia"/>
          <w:lang w:eastAsia="zh-CN"/>
        </w:rPr>
        <w:t>完成公安、消防、安监等报批工作。</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cs="Arial" w:asciiTheme="minorEastAsia" w:hAnsiTheme="minorEastAsia" w:eastAsiaTheme="minorEastAsia"/>
          <w:color w:val="000000"/>
          <w:lang w:eastAsia="zh-CN"/>
        </w:rPr>
        <w:t>.4</w:t>
      </w:r>
      <w:r>
        <w:rPr>
          <w:rFonts w:hint="eastAsia" w:asciiTheme="minorEastAsia" w:hAnsiTheme="minorEastAsia" w:eastAsiaTheme="minorEastAsia" w:cstheme="minorEastAsia"/>
          <w:lang w:eastAsia="zh-CN"/>
        </w:rPr>
        <w:t xml:space="preserve"> 负责参展商手册、展会功能氛围和指示系统、展区相关示意图、布撤展物流示意图、开展期间车辆行驶路线示意图、</w:t>
      </w:r>
      <w:r>
        <w:rPr>
          <w:rFonts w:hint="eastAsia" w:asciiTheme="minorEastAsia" w:hAnsiTheme="minorEastAsia" w:eastAsiaTheme="minorEastAsia" w:cstheme="minorEastAsia"/>
          <w:lang w:val="en-US" w:eastAsia="zh-CN"/>
        </w:rPr>
        <w:t>相关证件</w:t>
      </w:r>
      <w:r>
        <w:rPr>
          <w:rFonts w:hint="eastAsia" w:asciiTheme="minorEastAsia" w:hAnsiTheme="minorEastAsia" w:eastAsiaTheme="minorEastAsia" w:cstheme="minorEastAsia"/>
          <w:lang w:eastAsia="zh-CN"/>
        </w:rPr>
        <w:t>的规划和设计。</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cs="Arial" w:asciiTheme="minorEastAsia" w:hAnsiTheme="minorEastAsia" w:eastAsiaTheme="minorEastAsia"/>
          <w:color w:val="000000"/>
          <w:lang w:eastAsia="zh-CN"/>
        </w:rPr>
        <w:t>.5</w:t>
      </w:r>
      <w:r>
        <w:rPr>
          <w:rFonts w:hint="eastAsia" w:asciiTheme="minorEastAsia" w:hAnsiTheme="minorEastAsia" w:eastAsiaTheme="minorEastAsia" w:cstheme="minorEastAsia"/>
          <w:lang w:eastAsia="zh-CN"/>
        </w:rPr>
        <w:t xml:space="preserve"> 全面负责</w:t>
      </w:r>
      <w:r>
        <w:rPr>
          <w:rFonts w:hint="eastAsia" w:asciiTheme="minorEastAsia" w:hAnsiTheme="minorEastAsia" w:eastAsiaTheme="minorEastAsia" w:cstheme="minorEastAsia"/>
          <w:lang w:val="en-US" w:eastAsia="zh-CN"/>
        </w:rPr>
        <w:t>跨境电商展</w:t>
      </w:r>
      <w:r>
        <w:rPr>
          <w:rFonts w:hint="eastAsia" w:asciiTheme="minorEastAsia" w:hAnsiTheme="minorEastAsia" w:eastAsiaTheme="minorEastAsia" w:cstheme="minorEastAsia"/>
          <w:lang w:eastAsia="zh-CN"/>
        </w:rPr>
        <w:t>特装展台报馆、资质审查、结构安全和施工图纸、技术数据审核，负责搭建商报到注册、展区净地及各类标准展位的管理与服务，展区用电、展具租赁服务，并主动与参展企业联系，收集</w:t>
      </w:r>
      <w:r>
        <w:rPr>
          <w:rFonts w:hint="eastAsia" w:asciiTheme="minorEastAsia" w:hAnsiTheme="minorEastAsia" w:eastAsiaTheme="minorEastAsia" w:cstheme="minorEastAsia"/>
          <w:lang w:val="en-US" w:eastAsia="zh-CN"/>
        </w:rPr>
        <w:t>标准展位楣牌信息</w:t>
      </w:r>
      <w:r>
        <w:rPr>
          <w:rFonts w:hint="eastAsia" w:asciiTheme="minorEastAsia" w:hAnsiTheme="minorEastAsia" w:eastAsiaTheme="minorEastAsia" w:cstheme="minorEastAsia"/>
          <w:lang w:eastAsia="zh-CN"/>
        </w:rPr>
        <w:t>并</w:t>
      </w:r>
      <w:r>
        <w:rPr>
          <w:rFonts w:hint="eastAsia" w:asciiTheme="minorEastAsia" w:hAnsiTheme="minorEastAsia" w:eastAsiaTheme="minorEastAsia" w:cstheme="minorEastAsia"/>
          <w:lang w:val="en-US" w:eastAsia="zh-CN"/>
        </w:rPr>
        <w:t>核对</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负责审核特装展位</w:t>
      </w:r>
      <w:r>
        <w:rPr>
          <w:rFonts w:hint="eastAsia" w:asciiTheme="minorEastAsia" w:hAnsiTheme="minorEastAsia" w:eastAsiaTheme="minorEastAsia" w:cstheme="minorEastAsia"/>
          <w:lang w:eastAsia="zh-CN"/>
        </w:rPr>
        <w:t>的展位设计方案。</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cs="Arial" w:asciiTheme="minorEastAsia" w:hAnsiTheme="minorEastAsia" w:eastAsiaTheme="minorEastAsia"/>
          <w:color w:val="000000"/>
          <w:lang w:eastAsia="zh-CN"/>
        </w:rPr>
        <w:t>.6</w:t>
      </w:r>
      <w:r>
        <w:rPr>
          <w:rFonts w:hint="eastAsia" w:asciiTheme="minorEastAsia" w:hAnsiTheme="minorEastAsia" w:eastAsiaTheme="minorEastAsia" w:cstheme="minorEastAsia"/>
          <w:lang w:eastAsia="zh-CN"/>
        </w:rPr>
        <w:t>根据展馆提供的CAD图进行实地测量，复核CAD图纸的准确性（包含地沟、水点、电箱、消防等相关点位）。在展区规划完成后，复核并确认展位搭建是否可实施。</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1.7 负责设计广告及氛围总体方案（含图纸等），并确认广告氛围点位搭建是否可实施。</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1.8 根据主办需求进行特殊功能展位设计。</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1.9 协助主办单位合理规划设计展会临建设施，对参与展会临建设施搭建单位的资质进行严格审查，严格监督各搭建单位在搭建过程中按国家相关安全管理规定执行，严格核查设计图、结构图和相关技术数据，审核过程中应严格按照《展台等临建设施搭建安全标准》、《钢结构设计规范》等国家和行业制定的各项技术指标执行。</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cs="Arial" w:asciiTheme="minorEastAsia" w:hAnsiTheme="minorEastAsia" w:eastAsiaTheme="minorEastAsia"/>
          <w:color w:val="000000"/>
          <w:lang w:eastAsia="zh-CN"/>
        </w:rPr>
        <w:t>.10</w:t>
      </w:r>
      <w:r>
        <w:rPr>
          <w:rFonts w:hint="eastAsia" w:asciiTheme="minorEastAsia" w:hAnsiTheme="minorEastAsia" w:eastAsiaTheme="minorEastAsia" w:cstheme="minorEastAsia"/>
          <w:lang w:eastAsia="zh-CN"/>
        </w:rPr>
        <w:t>负责与展馆协调有关展位搭建事宜。审核并确认标准展位与升级标准展位设计方案的合理性与安全性。</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cs="Arial" w:asciiTheme="minorEastAsia" w:hAnsiTheme="minorEastAsia" w:eastAsiaTheme="minorEastAsia"/>
          <w:color w:val="000000"/>
          <w:lang w:eastAsia="zh-CN"/>
        </w:rPr>
        <w:t>.11</w:t>
      </w:r>
      <w:r>
        <w:rPr>
          <w:rFonts w:hint="eastAsia" w:asciiTheme="minorEastAsia" w:hAnsiTheme="minorEastAsia" w:eastAsiaTheme="minorEastAsia" w:cstheme="minorEastAsia"/>
          <w:lang w:eastAsia="zh-CN"/>
        </w:rPr>
        <w:t>负责根据招标方要求进行展区地毯铺设规划。</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cs="Arial" w:asciiTheme="minorEastAsia" w:hAnsiTheme="minorEastAsia" w:eastAsiaTheme="minorEastAsia"/>
          <w:color w:val="000000"/>
          <w:lang w:eastAsia="zh-CN"/>
        </w:rPr>
        <w:t>.12</w:t>
      </w:r>
      <w:r>
        <w:rPr>
          <w:rFonts w:hint="eastAsia" w:cs="Arial" w:asciiTheme="minorEastAsia" w:hAnsiTheme="minorEastAsia" w:eastAsiaTheme="minorEastAsia"/>
          <w:color w:val="000000" w:themeColor="text1"/>
          <w:lang w:eastAsia="zh-CN"/>
          <w14:textFill>
            <w14:solidFill>
              <w14:schemeClr w14:val="tx1"/>
            </w14:solidFill>
          </w14:textFill>
        </w:rPr>
        <w:t>协同主办与展馆方协调展位划线时间、标展基础搭建时间、</w:t>
      </w:r>
      <w:r>
        <w:rPr>
          <w:rFonts w:hint="eastAsia" w:cs="Arial" w:asciiTheme="minorEastAsia" w:hAnsiTheme="minorEastAsia" w:eastAsiaTheme="minorEastAsia"/>
          <w:color w:val="000000" w:themeColor="text1"/>
          <w:lang w:val="en-US" w:eastAsia="zh-CN"/>
          <w14:textFill>
            <w14:solidFill>
              <w14:schemeClr w14:val="tx1"/>
            </w14:solidFill>
          </w14:textFill>
        </w:rPr>
        <w:t>加高标准展位</w:t>
      </w:r>
      <w:r>
        <w:rPr>
          <w:rFonts w:hint="eastAsia" w:cs="Arial" w:asciiTheme="minorEastAsia" w:hAnsiTheme="minorEastAsia" w:eastAsiaTheme="minorEastAsia"/>
          <w:color w:val="000000" w:themeColor="text1"/>
          <w:lang w:eastAsia="zh-CN"/>
          <w14:textFill>
            <w14:solidFill>
              <w14:schemeClr w14:val="tx1"/>
            </w14:solidFill>
          </w14:textFill>
        </w:rPr>
        <w:t>搭建时间、氛围及指示系统搭建时间等事项。</w:t>
      </w:r>
    </w:p>
    <w:p>
      <w:pPr>
        <w:rPr>
          <w:rFonts w:asciiTheme="minorEastAsia" w:hAnsiTheme="minorEastAsia" w:eastAsiaTheme="minorEastAsia" w:cstheme="minorEastAsia"/>
          <w:lang w:eastAsia="zh-CN"/>
        </w:rPr>
      </w:pPr>
      <w:r>
        <w:rPr>
          <w:rFonts w:asciiTheme="minorEastAsia" w:hAnsiTheme="minorEastAsia" w:eastAsiaTheme="minorEastAsia" w:cstheme="minorEastAsia"/>
          <w:lang w:eastAsia="zh-CN"/>
        </w:rPr>
        <w:t>1</w:t>
      </w:r>
      <w:r>
        <w:rPr>
          <w:rFonts w:hint="eastAsia" w:cs="Arial" w:asciiTheme="minorEastAsia" w:hAnsiTheme="minorEastAsia" w:eastAsiaTheme="minorEastAsia"/>
          <w:color w:val="000000"/>
          <w:lang w:eastAsia="zh-CN"/>
        </w:rPr>
        <w:t>.13</w:t>
      </w:r>
      <w:r>
        <w:rPr>
          <w:rFonts w:hint="eastAsia" w:asciiTheme="minorEastAsia" w:hAnsiTheme="minorEastAsia" w:eastAsiaTheme="minorEastAsia" w:cstheme="minorEastAsia"/>
          <w:lang w:eastAsia="zh-CN"/>
        </w:rPr>
        <w:t xml:space="preserve"> 根据</w:t>
      </w:r>
      <w:r>
        <w:rPr>
          <w:rFonts w:hint="eastAsia" w:asciiTheme="minorEastAsia" w:hAnsiTheme="minorEastAsia" w:eastAsiaTheme="minorEastAsia" w:cstheme="minorEastAsia"/>
          <w:lang w:val="en-US" w:eastAsia="zh-CN"/>
        </w:rPr>
        <w:t>跨境电商展</w:t>
      </w:r>
      <w:r>
        <w:rPr>
          <w:rFonts w:hint="eastAsia" w:asciiTheme="minorEastAsia" w:hAnsiTheme="minorEastAsia" w:eastAsiaTheme="minorEastAsia" w:cstheme="minorEastAsia"/>
          <w:lang w:eastAsia="zh-CN"/>
        </w:rPr>
        <w:t>需求建立用于特装申报、展具租赁等事项的互联网服务平台并</w:t>
      </w:r>
      <w:r>
        <w:rPr>
          <w:rFonts w:hint="eastAsia" w:asciiTheme="minorEastAsia" w:hAnsiTheme="minorEastAsia" w:eastAsiaTheme="minorEastAsia" w:cstheme="minorEastAsia"/>
          <w:lang w:val="en-US" w:eastAsia="zh-CN"/>
        </w:rPr>
        <w:t>安排专人</w:t>
      </w:r>
      <w:r>
        <w:rPr>
          <w:rFonts w:hint="eastAsia" w:asciiTheme="minorEastAsia" w:hAnsiTheme="minorEastAsia" w:eastAsiaTheme="minorEastAsia" w:cstheme="minorEastAsia"/>
          <w:lang w:eastAsia="zh-CN"/>
        </w:rPr>
        <w:t>进行日常管理维护。</w:t>
      </w:r>
    </w:p>
    <w:p>
      <w:pPr>
        <w:rPr>
          <w:rFonts w:hint="eastAsia" w:asciiTheme="minorEastAsia" w:hAnsiTheme="minorEastAsia" w:eastAsiaTheme="minorEastAsia" w:cstheme="minorEastAsia"/>
          <w:lang w:eastAsia="zh-CN"/>
        </w:rPr>
      </w:pPr>
      <w:r>
        <w:rPr>
          <w:rFonts w:asciiTheme="minorEastAsia" w:hAnsiTheme="minorEastAsia" w:eastAsiaTheme="minorEastAsia" w:cstheme="minorEastAsia"/>
          <w:lang w:eastAsia="zh-CN"/>
        </w:rPr>
        <w:t>1</w:t>
      </w:r>
      <w:r>
        <w:rPr>
          <w:rFonts w:hint="eastAsia" w:cs="Arial" w:asciiTheme="minorEastAsia" w:hAnsiTheme="minorEastAsia" w:eastAsiaTheme="minorEastAsia"/>
          <w:color w:val="000000"/>
          <w:lang w:eastAsia="zh-CN"/>
        </w:rPr>
        <w:t>.14</w:t>
      </w:r>
      <w:r>
        <w:rPr>
          <w:rFonts w:hint="eastAsia" w:asciiTheme="minorEastAsia" w:hAnsiTheme="minorEastAsia" w:eastAsiaTheme="minorEastAsia" w:cstheme="minorEastAsia"/>
          <w:lang w:eastAsia="zh-CN"/>
        </w:rPr>
        <w:t xml:space="preserve"> 针对布展期、开展期、撤展期制定相关应急预案。</w:t>
      </w:r>
    </w:p>
    <w:p>
      <w:pPr>
        <w:pStyle w:val="2"/>
        <w:rPr>
          <w:rFonts w:hint="default" w:asciiTheme="minorEastAsia" w:hAnsiTheme="minorEastAsia" w:eastAsiaTheme="minorEastAsia" w:cstheme="minorEastAsia"/>
          <w:kern w:val="0"/>
          <w:sz w:val="22"/>
          <w:szCs w:val="22"/>
          <w:lang w:val="en-US" w:eastAsia="zh-CN" w:bidi="en-US"/>
        </w:rPr>
      </w:pPr>
      <w:r>
        <w:rPr>
          <w:rFonts w:hint="eastAsia" w:asciiTheme="minorEastAsia" w:hAnsiTheme="minorEastAsia" w:eastAsiaTheme="minorEastAsia" w:cstheme="minorEastAsia"/>
          <w:kern w:val="0"/>
          <w:sz w:val="22"/>
          <w:szCs w:val="22"/>
          <w:lang w:val="en-US" w:eastAsia="zh-CN" w:bidi="en-US"/>
        </w:rPr>
        <w:t>1.15 根据厦门当地疫情防控要求制定跨境电商展防疫方案。</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cs="Arial" w:asciiTheme="minorEastAsia" w:hAnsiTheme="minorEastAsia" w:eastAsiaTheme="minorEastAsia"/>
          <w:color w:val="000000"/>
          <w:lang w:eastAsia="zh-CN"/>
        </w:rPr>
        <w:t>.1</w:t>
      </w:r>
      <w:r>
        <w:rPr>
          <w:rFonts w:hint="eastAsia" w:cs="Arial" w:asciiTheme="minorEastAsia" w:hAnsiTheme="minorEastAsia" w:eastAsiaTheme="minorEastAsia"/>
          <w:color w:val="000000"/>
          <w:lang w:val="en-US" w:eastAsia="zh-CN"/>
        </w:rPr>
        <w:t>6</w:t>
      </w:r>
      <w:r>
        <w:rPr>
          <w:rFonts w:hint="eastAsia" w:cs="Arial" w:asciiTheme="minorEastAsia" w:hAnsiTheme="minorEastAsia" w:eastAsiaTheme="minorEastAsia"/>
          <w:color w:val="000000"/>
          <w:lang w:eastAsia="zh-CN"/>
        </w:rPr>
        <w:t xml:space="preserve"> </w:t>
      </w:r>
      <w:r>
        <w:rPr>
          <w:rFonts w:hint="eastAsia" w:asciiTheme="minorEastAsia" w:hAnsiTheme="minorEastAsia" w:eastAsiaTheme="minorEastAsia" w:cstheme="minorEastAsia"/>
          <w:lang w:eastAsia="zh-CN"/>
        </w:rPr>
        <w:t>完成招标方交办的其他与</w:t>
      </w:r>
      <w:r>
        <w:rPr>
          <w:rFonts w:hint="eastAsia" w:asciiTheme="minorEastAsia" w:hAnsiTheme="minorEastAsia" w:eastAsiaTheme="minorEastAsia" w:cstheme="minorEastAsia"/>
          <w:lang w:val="en-US" w:eastAsia="zh-CN"/>
        </w:rPr>
        <w:t>展会运营</w:t>
      </w:r>
      <w:r>
        <w:rPr>
          <w:rFonts w:hint="eastAsia" w:asciiTheme="minorEastAsia" w:hAnsiTheme="minorEastAsia" w:eastAsiaTheme="minorEastAsia" w:cstheme="minorEastAsia"/>
          <w:lang w:eastAsia="zh-CN"/>
        </w:rPr>
        <w:t>服务相关的工作事项。</w:t>
      </w:r>
    </w:p>
    <w:p>
      <w:pPr>
        <w:rPr>
          <w:rFonts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val="en-US" w:eastAsia="zh-CN"/>
        </w:rPr>
        <w:t>2</w:t>
      </w:r>
      <w:r>
        <w:rPr>
          <w:rFonts w:asciiTheme="minorEastAsia" w:hAnsiTheme="minorEastAsia" w:eastAsiaTheme="minorEastAsia" w:cstheme="minorEastAsia"/>
          <w:b w:val="0"/>
          <w:bCs w:val="0"/>
          <w:lang w:eastAsia="zh-CN"/>
        </w:rPr>
        <w:t xml:space="preserve">. </w:t>
      </w:r>
      <w:r>
        <w:rPr>
          <w:rFonts w:hint="eastAsia" w:asciiTheme="minorEastAsia" w:hAnsiTheme="minorEastAsia" w:eastAsiaTheme="minorEastAsia" w:cstheme="minorEastAsia"/>
          <w:b w:val="0"/>
          <w:bCs w:val="0"/>
          <w:lang w:eastAsia="zh-CN"/>
        </w:rPr>
        <w:t>展会现场服务内容：</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.1 需配合展馆方或第三方服务商进行室内、外展场的划线工作。</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.2 详细提供现场服务人员工作安排表，包括岗位、职责﹑主要负责人的联络方式等，确保展会期间及时有效地完成主办单位的现场工作要求。</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w:t>
      </w:r>
      <w:r>
        <w:rPr>
          <w:rFonts w:asciiTheme="minorEastAsia" w:hAnsiTheme="minorEastAsia" w:eastAsiaTheme="minorEastAsia" w:cstheme="minorEastAsia"/>
          <w:lang w:eastAsia="zh-CN"/>
        </w:rPr>
        <w:t>3</w:t>
      </w:r>
      <w:r>
        <w:rPr>
          <w:rFonts w:hint="eastAsia" w:asciiTheme="minorEastAsia" w:hAnsiTheme="minorEastAsia" w:eastAsiaTheme="minorEastAsia" w:cstheme="minorEastAsia"/>
          <w:lang w:eastAsia="zh-CN"/>
        </w:rPr>
        <w:t xml:space="preserve"> 派专职人员负责施工现场的消防安全管理监督工作；根据施工场地和作业性质要求各展位搭建商按规定数量配备灭火器材，采取足够的安全防护措施并由专业人员进行施工作业，确保展位结构稳定、安全、牢固并符合消防安全各项规定。在关键工作岗位（如电工、水工等）应设置具有认证资质的专业人员，确保全场全程施工搭建和展示安全。</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.4 对标准展位及升级展位搭建的管理、验收。馆长负责核对标准展位楣板及</w:t>
      </w:r>
      <w:r>
        <w:rPr>
          <w:rFonts w:hint="eastAsia" w:asciiTheme="minorEastAsia" w:hAnsiTheme="minorEastAsia" w:eastAsiaTheme="minorEastAsia" w:cstheme="minorEastAsia"/>
          <w:lang w:val="en-US" w:eastAsia="zh-CN"/>
        </w:rPr>
        <w:t>展</w:t>
      </w:r>
      <w:r>
        <w:rPr>
          <w:rFonts w:hint="eastAsia" w:asciiTheme="minorEastAsia" w:hAnsiTheme="minorEastAsia" w:eastAsiaTheme="minorEastAsia" w:cstheme="minorEastAsia"/>
          <w:lang w:eastAsia="zh-CN"/>
        </w:rPr>
        <w:t>具配置情况；在规定的时间内监督管理将</w:t>
      </w:r>
      <w:r>
        <w:rPr>
          <w:rFonts w:hint="eastAsia" w:asciiTheme="minorEastAsia" w:hAnsiTheme="minorEastAsia" w:eastAsiaTheme="minorEastAsia" w:cstheme="minorEastAsia"/>
          <w:lang w:val="en-US" w:eastAsia="zh-CN"/>
        </w:rPr>
        <w:t>展</w:t>
      </w:r>
      <w:r>
        <w:rPr>
          <w:rFonts w:hint="eastAsia" w:asciiTheme="minorEastAsia" w:hAnsiTheme="minorEastAsia" w:eastAsiaTheme="minorEastAsia" w:cstheme="minorEastAsia"/>
          <w:lang w:eastAsia="zh-CN"/>
        </w:rPr>
        <w:t>具派发完毕，并派专人监督管理，防止丢失和随意变更位置；为主办单位调整部分标准展位电箱位置，并制止标准展位私自改建；</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.5 协调、管理通道地毯铺设工作。</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.6 场内搭建和布置及</w:t>
      </w:r>
      <w:r>
        <w:rPr>
          <w:rFonts w:hint="eastAsia" w:asciiTheme="minorEastAsia" w:hAnsiTheme="minorEastAsia" w:eastAsiaTheme="minorEastAsia" w:cstheme="minorEastAsia"/>
          <w:lang w:val="en-US" w:eastAsia="zh-CN"/>
        </w:rPr>
        <w:t>导视系统</w:t>
      </w:r>
      <w:r>
        <w:rPr>
          <w:rFonts w:hint="eastAsia" w:asciiTheme="minorEastAsia" w:hAnsiTheme="minorEastAsia" w:eastAsiaTheme="minorEastAsia" w:cstheme="minorEastAsia"/>
          <w:lang w:eastAsia="zh-CN"/>
        </w:rPr>
        <w:t>等须在主办单位要求的时间内完成；布展及开展期间，中标方须配备技术人员在现场机动待命随时响应主办单位的现场要求。</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.7 在布展、撤展期间内，负责参展商及</w:t>
      </w:r>
      <w:r>
        <w:rPr>
          <w:rFonts w:hint="eastAsia" w:cs="Arial" w:asciiTheme="minorEastAsia" w:hAnsiTheme="minorEastAsia" w:eastAsiaTheme="minorEastAsia"/>
          <w:lang w:eastAsia="zh-CN"/>
        </w:rPr>
        <w:t>搭建商现场管理，</w:t>
      </w:r>
      <w:r>
        <w:rPr>
          <w:rFonts w:hint="eastAsia" w:asciiTheme="minorEastAsia" w:hAnsiTheme="minorEastAsia" w:eastAsiaTheme="minorEastAsia" w:cstheme="minorEastAsia"/>
          <w:lang w:eastAsia="zh-CN"/>
        </w:rPr>
        <w:t>维护布撤展秩序，保障现场人员安全，制止违规操作及一切损害场馆设备设施的行为。</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.8 中标方在布展及撤展期间负责监督管理包含但不限于特装展台施工、标准展位基础搭建、标准展位改建、展会功能性氛围和指示系统搭建、篷房搭建、户外广告制作、发布等项目的搭建、拆除工作，确保施工安全；因监督管理不当导致的人身和财产损失由中标方承担管理责任。</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.9 中标方在开展期间负责对3.8所述项目存在的安全隐患进行检查并做好相关记录，发现安全问题及时向主办方汇报并督促问题方整改。对因监督检查不当所导致的人身和财产损失由中标方承担管理责任。</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val="en-US" w:eastAsia="zh-CN"/>
        </w:rPr>
        <w:t>0负责展会现场配合相关部门进行安全检查</w:t>
      </w:r>
      <w:r>
        <w:rPr>
          <w:rFonts w:hint="eastAsia" w:asciiTheme="minorEastAsia" w:hAnsiTheme="minorEastAsia" w:eastAsiaTheme="minorEastAsia" w:cstheme="minorEastAsia"/>
          <w:lang w:eastAsia="zh-CN"/>
        </w:rPr>
        <w:t>等事宜。</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asciiTheme="minorEastAsia" w:hAnsiTheme="minorEastAsia" w:eastAsiaTheme="minorEastAsia" w:cstheme="minorEastAsia"/>
          <w:lang w:eastAsia="zh-CN"/>
        </w:rPr>
        <w:t>.</w:t>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 xml:space="preserve"> 完成主办方交办的其他与主场服务相关的事项。</w:t>
      </w:r>
    </w:p>
    <w:p>
      <w:pPr>
        <w:pStyle w:val="2"/>
        <w:rPr>
          <w:rFonts w:hint="eastAsia" w:cs="Times New Roman"/>
          <w:b/>
          <w:bCs/>
          <w:kern w:val="0"/>
          <w:sz w:val="22"/>
          <w:szCs w:val="22"/>
          <w:lang w:val="en-US" w:eastAsia="zh-CN" w:bidi="en-US"/>
        </w:rPr>
      </w:pPr>
      <w:r>
        <w:rPr>
          <w:rFonts w:hint="eastAsia" w:cs="Times New Roman"/>
          <w:b/>
          <w:bCs/>
          <w:kern w:val="0"/>
          <w:sz w:val="22"/>
          <w:szCs w:val="22"/>
          <w:lang w:val="en-US" w:eastAsia="zh-CN" w:bidi="en-US"/>
        </w:rPr>
        <w:t>注：该部分最高投标限价5.8万元，凡投标报价超出最高投标限价均作否决投标处理。</w:t>
      </w:r>
    </w:p>
    <w:p>
      <w:pPr>
        <w:rPr>
          <w:rFonts w:hint="eastAsia"/>
          <w:b/>
          <w:bCs/>
          <w:sz w:val="24"/>
          <w:szCs w:val="28"/>
          <w:lang w:eastAsia="zh-CN"/>
        </w:rPr>
      </w:pPr>
      <w:r>
        <w:rPr>
          <w:rFonts w:hint="eastAsia"/>
          <w:b/>
          <w:bCs/>
          <w:sz w:val="24"/>
          <w:szCs w:val="28"/>
          <w:lang w:eastAsia="zh-CN"/>
        </w:rPr>
        <w:br w:type="page"/>
      </w:r>
    </w:p>
    <w:p>
      <w:pPr>
        <w:pStyle w:val="2"/>
        <w:rPr>
          <w:rFonts w:hint="eastAsia"/>
          <w:sz w:val="28"/>
          <w:szCs w:val="32"/>
          <w:lang w:eastAsia="zh-CN"/>
        </w:rPr>
      </w:pPr>
      <w:r>
        <w:rPr>
          <w:rFonts w:hint="eastAsia"/>
          <w:b/>
          <w:bCs/>
          <w:sz w:val="24"/>
          <w:szCs w:val="28"/>
          <w:lang w:eastAsia="zh-CN"/>
        </w:rPr>
        <w:t>（二）</w:t>
      </w:r>
      <w:r>
        <w:rPr>
          <w:rFonts w:hint="eastAsia"/>
          <w:b/>
          <w:bCs/>
          <w:sz w:val="24"/>
          <w:szCs w:val="28"/>
          <w:lang w:val="en-US" w:eastAsia="zh-CN"/>
        </w:rPr>
        <w:t>展会</w:t>
      </w:r>
      <w:r>
        <w:rPr>
          <w:rFonts w:hint="eastAsia"/>
          <w:b/>
          <w:bCs/>
          <w:sz w:val="24"/>
          <w:szCs w:val="28"/>
          <w:lang w:eastAsia="zh-CN"/>
        </w:rPr>
        <w:t>氛围设计</w:t>
      </w:r>
      <w:r>
        <w:rPr>
          <w:rFonts w:hint="eastAsia"/>
          <w:b/>
          <w:bCs/>
          <w:sz w:val="24"/>
          <w:szCs w:val="28"/>
          <w:lang w:val="en-US" w:eastAsia="zh-CN"/>
        </w:rPr>
        <w:t>及规划</w:t>
      </w:r>
    </w:p>
    <w:p>
      <w:pPr>
        <w:pStyle w:val="2"/>
        <w:rPr>
          <w:rFonts w:hint="eastAsia"/>
          <w:sz w:val="22"/>
          <w:szCs w:val="24"/>
          <w:lang w:eastAsia="zh-CN"/>
        </w:rPr>
      </w:pPr>
      <w:r>
        <w:rPr>
          <w:rFonts w:hint="eastAsia"/>
          <w:sz w:val="22"/>
          <w:szCs w:val="24"/>
          <w:lang w:eastAsia="zh-CN"/>
        </w:rPr>
        <w:t>1.</w:t>
      </w:r>
      <w:r>
        <w:rPr>
          <w:rFonts w:hint="eastAsia"/>
          <w:sz w:val="22"/>
          <w:szCs w:val="24"/>
          <w:lang w:val="en-US" w:eastAsia="zh-CN"/>
        </w:rPr>
        <w:t>展会</w:t>
      </w:r>
      <w:r>
        <w:rPr>
          <w:rFonts w:hint="eastAsia"/>
          <w:sz w:val="22"/>
          <w:szCs w:val="24"/>
          <w:lang w:eastAsia="zh-CN"/>
        </w:rPr>
        <w:t>氛围设计</w:t>
      </w:r>
    </w:p>
    <w:p>
      <w:pPr>
        <w:pStyle w:val="2"/>
        <w:rPr>
          <w:rFonts w:hint="eastAsia"/>
          <w:sz w:val="22"/>
          <w:szCs w:val="24"/>
          <w:lang w:eastAsia="zh-CN"/>
        </w:rPr>
      </w:pPr>
      <w:r>
        <w:rPr>
          <w:rFonts w:hint="eastAsia"/>
          <w:sz w:val="22"/>
          <w:szCs w:val="24"/>
          <w:lang w:eastAsia="zh-CN"/>
        </w:rPr>
        <w:t>1.1设计</w:t>
      </w:r>
      <w:r>
        <w:rPr>
          <w:rFonts w:hint="eastAsia"/>
          <w:sz w:val="22"/>
          <w:szCs w:val="24"/>
          <w:lang w:val="en-US" w:eastAsia="zh-CN"/>
        </w:rPr>
        <w:t>跨境电商展</w:t>
      </w:r>
      <w:r>
        <w:rPr>
          <w:rFonts w:hint="eastAsia"/>
          <w:sz w:val="22"/>
          <w:szCs w:val="24"/>
          <w:lang w:eastAsia="zh-CN"/>
        </w:rPr>
        <w:t>主题元素（以下简称“主K”），根据主K延展应用设计，进行氛围渲染、营造，内容包括但不限于功能点位规划图、展区类别标识、吊旗、导视牌、警示标识、展馆入口处门头等，鼓励创新。</w:t>
      </w:r>
    </w:p>
    <w:p>
      <w:pPr>
        <w:pStyle w:val="2"/>
        <w:rPr>
          <w:rFonts w:hint="eastAsia"/>
          <w:sz w:val="22"/>
          <w:szCs w:val="24"/>
          <w:lang w:eastAsia="zh-CN"/>
        </w:rPr>
      </w:pPr>
      <w:r>
        <w:rPr>
          <w:rFonts w:hint="eastAsia"/>
          <w:sz w:val="22"/>
          <w:szCs w:val="24"/>
          <w:lang w:eastAsia="zh-CN"/>
        </w:rPr>
        <w:t>1.</w:t>
      </w:r>
      <w:r>
        <w:rPr>
          <w:rFonts w:hint="eastAsia"/>
          <w:sz w:val="22"/>
          <w:szCs w:val="24"/>
          <w:lang w:val="en-US" w:eastAsia="zh-CN"/>
        </w:rPr>
        <w:t>2</w:t>
      </w:r>
      <w:r>
        <w:rPr>
          <w:rFonts w:hint="eastAsia"/>
          <w:sz w:val="22"/>
          <w:szCs w:val="24"/>
          <w:lang w:eastAsia="zh-CN"/>
        </w:rPr>
        <w:t>投标方应根据场馆整体布局结合</w:t>
      </w:r>
      <w:r>
        <w:rPr>
          <w:rFonts w:hint="eastAsia"/>
          <w:sz w:val="22"/>
          <w:szCs w:val="24"/>
          <w:lang w:val="en-US" w:eastAsia="zh-CN"/>
        </w:rPr>
        <w:t>跨境电商展</w:t>
      </w:r>
      <w:r>
        <w:rPr>
          <w:rFonts w:hint="eastAsia"/>
          <w:sz w:val="22"/>
          <w:szCs w:val="24"/>
          <w:lang w:eastAsia="zh-CN"/>
        </w:rPr>
        <w:t>需求进行氛围设计。</w:t>
      </w:r>
    </w:p>
    <w:p>
      <w:pPr>
        <w:pStyle w:val="2"/>
        <w:rPr>
          <w:rFonts w:hint="eastAsia"/>
          <w:sz w:val="22"/>
          <w:szCs w:val="24"/>
          <w:lang w:eastAsia="zh-CN"/>
        </w:rPr>
      </w:pPr>
      <w:r>
        <w:rPr>
          <w:rFonts w:hint="eastAsia"/>
          <w:sz w:val="22"/>
          <w:szCs w:val="24"/>
          <w:lang w:eastAsia="zh-CN"/>
        </w:rPr>
        <w:t>2.导示系统</w:t>
      </w:r>
    </w:p>
    <w:p>
      <w:pPr>
        <w:pStyle w:val="2"/>
        <w:rPr>
          <w:rFonts w:hint="eastAsia"/>
          <w:sz w:val="22"/>
          <w:szCs w:val="24"/>
          <w:lang w:eastAsia="zh-CN"/>
        </w:rPr>
      </w:pPr>
      <w:r>
        <w:rPr>
          <w:rFonts w:hint="eastAsia"/>
          <w:sz w:val="22"/>
          <w:szCs w:val="24"/>
          <w:lang w:eastAsia="zh-CN"/>
        </w:rPr>
        <w:t>2.1设计规划：负责大会导示系统的点位规划、设计工作。</w:t>
      </w:r>
    </w:p>
    <w:p>
      <w:pPr>
        <w:pStyle w:val="2"/>
        <w:rPr>
          <w:rFonts w:hint="eastAsia"/>
          <w:sz w:val="22"/>
          <w:szCs w:val="24"/>
          <w:lang w:eastAsia="zh-CN"/>
        </w:rPr>
      </w:pPr>
      <w:r>
        <w:rPr>
          <w:rFonts w:hint="eastAsia"/>
          <w:sz w:val="22"/>
          <w:szCs w:val="24"/>
          <w:lang w:eastAsia="zh-CN"/>
        </w:rPr>
        <w:t>2.</w:t>
      </w:r>
      <w:r>
        <w:rPr>
          <w:rFonts w:hint="eastAsia"/>
          <w:sz w:val="22"/>
          <w:szCs w:val="24"/>
          <w:lang w:val="en-US" w:eastAsia="zh-CN"/>
        </w:rPr>
        <w:t>2</w:t>
      </w:r>
      <w:r>
        <w:rPr>
          <w:rFonts w:hint="eastAsia"/>
          <w:sz w:val="22"/>
          <w:szCs w:val="24"/>
          <w:lang w:eastAsia="zh-CN"/>
        </w:rPr>
        <w:t>设置及安全：放置的位置不影响</w:t>
      </w:r>
      <w:r>
        <w:rPr>
          <w:rFonts w:hint="eastAsia"/>
          <w:sz w:val="22"/>
          <w:szCs w:val="24"/>
          <w:lang w:val="en-US" w:eastAsia="zh-CN"/>
        </w:rPr>
        <w:t>展</w:t>
      </w:r>
      <w:r>
        <w:rPr>
          <w:rFonts w:hint="eastAsia"/>
          <w:sz w:val="22"/>
          <w:szCs w:val="24"/>
          <w:lang w:eastAsia="zh-CN"/>
        </w:rPr>
        <w:t>会交通，不影响其它功能设施，确保放置地点及结构安全。</w:t>
      </w:r>
    </w:p>
    <w:p>
      <w:pPr>
        <w:pStyle w:val="2"/>
        <w:rPr>
          <w:rFonts w:hint="eastAsia"/>
          <w:sz w:val="22"/>
          <w:szCs w:val="24"/>
          <w:lang w:eastAsia="zh-CN"/>
        </w:rPr>
      </w:pPr>
      <w:r>
        <w:rPr>
          <w:rFonts w:hint="eastAsia"/>
          <w:sz w:val="22"/>
          <w:szCs w:val="24"/>
          <w:lang w:eastAsia="zh-CN"/>
        </w:rPr>
        <w:t>3.功能性服务台</w:t>
      </w:r>
      <w:r>
        <w:rPr>
          <w:rFonts w:hint="eastAsia"/>
          <w:sz w:val="22"/>
          <w:szCs w:val="24"/>
          <w:lang w:val="en-US" w:eastAsia="zh-CN"/>
        </w:rPr>
        <w:t>的规划及</w:t>
      </w:r>
      <w:r>
        <w:rPr>
          <w:rFonts w:hint="eastAsia"/>
          <w:sz w:val="22"/>
          <w:szCs w:val="24"/>
          <w:lang w:eastAsia="zh-CN"/>
        </w:rPr>
        <w:t>设计。</w:t>
      </w:r>
      <w:r>
        <w:rPr>
          <w:rFonts w:hint="eastAsia"/>
          <w:sz w:val="22"/>
          <w:szCs w:val="24"/>
          <w:lang w:eastAsia="zh-CN"/>
        </w:rPr>
        <w:tab/>
      </w:r>
    </w:p>
    <w:p>
      <w:pPr>
        <w:pStyle w:val="2"/>
        <w:rPr>
          <w:rFonts w:hint="eastAsia"/>
          <w:sz w:val="22"/>
          <w:szCs w:val="24"/>
          <w:lang w:eastAsia="zh-CN"/>
        </w:rPr>
      </w:pPr>
      <w:r>
        <w:rPr>
          <w:rFonts w:hint="eastAsia"/>
          <w:sz w:val="22"/>
          <w:szCs w:val="24"/>
          <w:lang w:val="en-US" w:eastAsia="zh-CN"/>
        </w:rPr>
        <w:t>4</w:t>
      </w:r>
      <w:r>
        <w:rPr>
          <w:rFonts w:hint="eastAsia"/>
          <w:sz w:val="22"/>
          <w:szCs w:val="24"/>
          <w:lang w:eastAsia="zh-CN"/>
        </w:rPr>
        <w:t>.氛围点位由投标方根据自身对</w:t>
      </w:r>
      <w:r>
        <w:rPr>
          <w:rFonts w:hint="eastAsia"/>
          <w:sz w:val="22"/>
          <w:szCs w:val="24"/>
          <w:lang w:val="en-US" w:eastAsia="zh-CN"/>
        </w:rPr>
        <w:t>跨境电商展</w:t>
      </w:r>
      <w:r>
        <w:rPr>
          <w:rFonts w:hint="eastAsia"/>
          <w:sz w:val="22"/>
          <w:szCs w:val="24"/>
          <w:lang w:eastAsia="zh-CN"/>
        </w:rPr>
        <w:t>及招标文件的理解结合展馆结构自行设计选择。</w:t>
      </w:r>
    </w:p>
    <w:p>
      <w:pPr>
        <w:pStyle w:val="2"/>
        <w:rPr>
          <w:rFonts w:hint="eastAsia"/>
          <w:sz w:val="22"/>
          <w:szCs w:val="24"/>
          <w:lang w:eastAsia="zh-CN"/>
        </w:rPr>
      </w:pPr>
      <w:r>
        <w:rPr>
          <w:rFonts w:hint="eastAsia"/>
          <w:sz w:val="22"/>
          <w:szCs w:val="24"/>
          <w:lang w:val="en-US" w:eastAsia="zh-CN"/>
        </w:rPr>
        <w:t>5</w:t>
      </w:r>
      <w:r>
        <w:rPr>
          <w:rFonts w:hint="eastAsia"/>
          <w:sz w:val="22"/>
          <w:szCs w:val="24"/>
          <w:lang w:eastAsia="zh-CN"/>
        </w:rPr>
        <w:t>.</w:t>
      </w:r>
      <w:r>
        <w:rPr>
          <w:rFonts w:hint="eastAsia"/>
          <w:sz w:val="22"/>
          <w:szCs w:val="24"/>
          <w:lang w:val="en-US" w:eastAsia="zh-CN"/>
        </w:rPr>
        <w:t>展会</w:t>
      </w:r>
      <w:r>
        <w:rPr>
          <w:rFonts w:hint="eastAsia"/>
          <w:sz w:val="22"/>
          <w:szCs w:val="24"/>
          <w:lang w:eastAsia="zh-CN"/>
        </w:rPr>
        <w:t>主形象设计</w:t>
      </w:r>
    </w:p>
    <w:p>
      <w:pPr>
        <w:pStyle w:val="2"/>
        <w:rPr>
          <w:rFonts w:hint="eastAsia"/>
          <w:sz w:val="22"/>
          <w:szCs w:val="24"/>
          <w:lang w:eastAsia="zh-CN"/>
        </w:rPr>
      </w:pPr>
      <w:r>
        <w:rPr>
          <w:rFonts w:hint="eastAsia"/>
          <w:sz w:val="22"/>
          <w:szCs w:val="24"/>
          <w:lang w:val="en-US" w:eastAsia="zh-CN"/>
        </w:rPr>
        <w:t>5</w:t>
      </w:r>
      <w:r>
        <w:rPr>
          <w:rFonts w:hint="eastAsia"/>
          <w:sz w:val="22"/>
          <w:szCs w:val="24"/>
          <w:lang w:eastAsia="zh-CN"/>
        </w:rPr>
        <w:t>.1 设计</w:t>
      </w:r>
      <w:r>
        <w:rPr>
          <w:rFonts w:hint="eastAsia"/>
          <w:sz w:val="22"/>
          <w:szCs w:val="24"/>
          <w:lang w:val="en-US" w:eastAsia="zh-CN"/>
        </w:rPr>
        <w:t>跨境电商展</w:t>
      </w:r>
      <w:r>
        <w:rPr>
          <w:rFonts w:hint="eastAsia"/>
          <w:sz w:val="22"/>
          <w:szCs w:val="24"/>
          <w:lang w:eastAsia="zh-CN"/>
        </w:rPr>
        <w:t>室内主形象，摆放地点暂定</w:t>
      </w:r>
      <w:r>
        <w:rPr>
          <w:rFonts w:hint="eastAsia"/>
          <w:sz w:val="22"/>
          <w:szCs w:val="24"/>
          <w:lang w:val="en-US" w:eastAsia="zh-CN"/>
        </w:rPr>
        <w:t>前广场</w:t>
      </w:r>
      <w:r>
        <w:rPr>
          <w:rFonts w:hint="eastAsia"/>
          <w:sz w:val="22"/>
          <w:szCs w:val="24"/>
          <w:lang w:eastAsia="zh-CN"/>
        </w:rPr>
        <w:t>。规格尺寸可根据形象设计适</w:t>
      </w:r>
      <w:r>
        <w:rPr>
          <w:rFonts w:hint="eastAsia"/>
          <w:sz w:val="22"/>
          <w:szCs w:val="24"/>
          <w:lang w:val="en-US" w:eastAsia="zh-CN"/>
        </w:rPr>
        <w:t>当规划</w:t>
      </w:r>
      <w:r>
        <w:rPr>
          <w:rFonts w:hint="eastAsia"/>
          <w:sz w:val="22"/>
          <w:szCs w:val="24"/>
          <w:lang w:eastAsia="zh-CN"/>
        </w:rPr>
        <w:t>。</w:t>
      </w:r>
    </w:p>
    <w:p>
      <w:pPr>
        <w:pStyle w:val="2"/>
        <w:rPr>
          <w:rFonts w:hint="eastAsia"/>
          <w:sz w:val="22"/>
          <w:szCs w:val="24"/>
          <w:lang w:eastAsia="zh-CN"/>
        </w:rPr>
      </w:pPr>
      <w:r>
        <w:rPr>
          <w:rFonts w:hint="eastAsia"/>
          <w:sz w:val="22"/>
          <w:szCs w:val="24"/>
          <w:lang w:val="en-US" w:eastAsia="zh-CN"/>
        </w:rPr>
        <w:t>5</w:t>
      </w:r>
      <w:r>
        <w:rPr>
          <w:rFonts w:hint="eastAsia"/>
          <w:sz w:val="22"/>
          <w:szCs w:val="24"/>
          <w:lang w:eastAsia="zh-CN"/>
        </w:rPr>
        <w:t>.</w:t>
      </w:r>
      <w:r>
        <w:rPr>
          <w:rFonts w:hint="eastAsia"/>
          <w:sz w:val="22"/>
          <w:szCs w:val="24"/>
          <w:lang w:val="en-US" w:eastAsia="zh-CN"/>
        </w:rPr>
        <w:t>2</w:t>
      </w:r>
      <w:r>
        <w:rPr>
          <w:rFonts w:hint="eastAsia"/>
          <w:sz w:val="22"/>
          <w:szCs w:val="24"/>
          <w:lang w:eastAsia="zh-CN"/>
        </w:rPr>
        <w:t> 设计要求：契合</w:t>
      </w:r>
      <w:r>
        <w:rPr>
          <w:rFonts w:hint="eastAsia"/>
          <w:sz w:val="22"/>
          <w:szCs w:val="24"/>
          <w:lang w:val="en-US" w:eastAsia="zh-CN"/>
        </w:rPr>
        <w:t>跨境电商展行业</w:t>
      </w:r>
      <w:r>
        <w:rPr>
          <w:rFonts w:hint="eastAsia"/>
          <w:sz w:val="22"/>
          <w:szCs w:val="24"/>
          <w:lang w:eastAsia="zh-CN"/>
        </w:rPr>
        <w:t>理念，美化和活跃</w:t>
      </w:r>
      <w:r>
        <w:rPr>
          <w:rFonts w:hint="eastAsia"/>
          <w:sz w:val="22"/>
          <w:szCs w:val="24"/>
          <w:lang w:val="en-US" w:eastAsia="zh-CN"/>
        </w:rPr>
        <w:t>展</w:t>
      </w:r>
      <w:r>
        <w:rPr>
          <w:rFonts w:hint="eastAsia"/>
          <w:sz w:val="22"/>
          <w:szCs w:val="24"/>
          <w:lang w:eastAsia="zh-CN"/>
        </w:rPr>
        <w:t>会氛围、组织和丰富空间层次、宣传</w:t>
      </w:r>
      <w:r>
        <w:rPr>
          <w:rFonts w:hint="eastAsia"/>
          <w:sz w:val="22"/>
          <w:szCs w:val="24"/>
          <w:lang w:val="en-US" w:eastAsia="zh-CN"/>
        </w:rPr>
        <w:t>展</w:t>
      </w:r>
      <w:r>
        <w:rPr>
          <w:rFonts w:hint="eastAsia"/>
          <w:sz w:val="22"/>
          <w:szCs w:val="24"/>
          <w:lang w:eastAsia="zh-CN"/>
        </w:rPr>
        <w:t>会品牌、提升大会整体形象和档次、兼具打卡点功能。</w:t>
      </w:r>
    </w:p>
    <w:p>
      <w:pPr>
        <w:pStyle w:val="2"/>
        <w:rPr>
          <w:rFonts w:hint="eastAsia"/>
          <w:sz w:val="22"/>
          <w:szCs w:val="24"/>
          <w:lang w:eastAsia="zh-CN"/>
        </w:rPr>
      </w:pPr>
      <w:r>
        <w:rPr>
          <w:rFonts w:hint="eastAsia"/>
          <w:sz w:val="22"/>
          <w:szCs w:val="24"/>
          <w:lang w:val="en-US" w:eastAsia="zh-CN"/>
        </w:rPr>
        <w:t>5</w:t>
      </w:r>
      <w:r>
        <w:rPr>
          <w:rFonts w:hint="eastAsia"/>
          <w:sz w:val="22"/>
          <w:szCs w:val="24"/>
          <w:lang w:eastAsia="zh-CN"/>
        </w:rPr>
        <w:t>.</w:t>
      </w:r>
      <w:r>
        <w:rPr>
          <w:rFonts w:hint="eastAsia"/>
          <w:sz w:val="22"/>
          <w:szCs w:val="24"/>
          <w:lang w:val="en-US" w:eastAsia="zh-CN"/>
        </w:rPr>
        <w:t>3</w:t>
      </w:r>
      <w:r>
        <w:rPr>
          <w:rFonts w:hint="eastAsia"/>
          <w:sz w:val="22"/>
          <w:szCs w:val="24"/>
          <w:lang w:eastAsia="zh-CN"/>
        </w:rPr>
        <w:t> </w:t>
      </w:r>
      <w:r>
        <w:rPr>
          <w:rFonts w:hint="eastAsia"/>
          <w:sz w:val="22"/>
          <w:szCs w:val="24"/>
          <w:lang w:val="en-US" w:eastAsia="zh-CN"/>
        </w:rPr>
        <w:t>材质不限，</w:t>
      </w:r>
      <w:r>
        <w:rPr>
          <w:rFonts w:hint="eastAsia"/>
          <w:sz w:val="22"/>
          <w:szCs w:val="24"/>
          <w:lang w:eastAsia="zh-CN"/>
        </w:rPr>
        <w:t>提倡使用环保材料，主形象应作全方位修饰，同时避免对主形象背后造成大面积视觉遮挡。</w:t>
      </w:r>
    </w:p>
    <w:p>
      <w:pPr>
        <w:pStyle w:val="2"/>
        <w:rPr>
          <w:rFonts w:hint="default"/>
          <w:b/>
          <w:bCs/>
          <w:sz w:val="22"/>
          <w:szCs w:val="24"/>
          <w:lang w:val="en-US" w:eastAsia="zh-CN"/>
        </w:rPr>
      </w:pPr>
      <w:r>
        <w:rPr>
          <w:rFonts w:hint="eastAsia"/>
          <w:b/>
          <w:bCs/>
          <w:sz w:val="22"/>
          <w:szCs w:val="24"/>
          <w:lang w:eastAsia="zh-CN"/>
        </w:rPr>
        <w:t>特别说明：投标方应于投标现场对</w:t>
      </w:r>
      <w:r>
        <w:rPr>
          <w:rFonts w:hint="eastAsia"/>
          <w:b/>
          <w:bCs/>
          <w:sz w:val="22"/>
          <w:szCs w:val="24"/>
          <w:lang w:val="en-US" w:eastAsia="zh-CN"/>
        </w:rPr>
        <w:t>跨境电商展</w:t>
      </w:r>
      <w:r>
        <w:rPr>
          <w:rFonts w:hint="eastAsia"/>
          <w:b/>
          <w:bCs/>
          <w:sz w:val="22"/>
          <w:szCs w:val="24"/>
          <w:lang w:eastAsia="zh-CN"/>
        </w:rPr>
        <w:t>的氛围设计方案予以展示（含材质、点位设置等），作为氛围部分的评标依据之一，</w:t>
      </w:r>
      <w:r>
        <w:rPr>
          <w:rFonts w:hint="eastAsia"/>
          <w:b/>
          <w:bCs/>
          <w:sz w:val="22"/>
          <w:szCs w:val="24"/>
          <w:lang w:val="en-US" w:eastAsia="zh-CN"/>
        </w:rPr>
        <w:t>该项服务只提交设计规划报价，不报制作、搭建等费用。</w:t>
      </w:r>
    </w:p>
    <w:p>
      <w:pPr>
        <w:pStyle w:val="2"/>
        <w:rPr>
          <w:rFonts w:hint="eastAsia"/>
          <w:b/>
          <w:bCs/>
          <w:sz w:val="22"/>
          <w:szCs w:val="24"/>
          <w:lang w:eastAsia="zh-CN"/>
        </w:rPr>
      </w:pPr>
    </w:p>
    <w:p>
      <w:pPr>
        <w:rPr>
          <w:rFonts w:hint="eastAsia"/>
          <w:lang w:eastAsia="zh-CN"/>
        </w:rPr>
      </w:pPr>
    </w:p>
    <w:p>
      <w:pPr>
        <w:pStyle w:val="2"/>
        <w:numPr>
          <w:ilvl w:val="0"/>
          <w:numId w:val="31"/>
        </w:numPr>
        <w:rPr>
          <w:rFonts w:hint="eastAsia"/>
          <w:b/>
          <w:bCs/>
          <w:sz w:val="24"/>
          <w:szCs w:val="28"/>
          <w:lang w:val="en-US" w:eastAsia="zh-CN"/>
        </w:rPr>
      </w:pPr>
      <w:r>
        <w:rPr>
          <w:rFonts w:hint="eastAsia"/>
          <w:b/>
          <w:bCs/>
          <w:sz w:val="24"/>
          <w:szCs w:val="28"/>
          <w:lang w:val="en-US" w:eastAsia="zh-CN"/>
        </w:rPr>
        <w:t>展会现场会场规划、设计、搭建及相关服务</w:t>
      </w:r>
    </w:p>
    <w:p>
      <w:pPr>
        <w:numPr>
          <w:ilvl w:val="0"/>
          <w:numId w:val="32"/>
        </w:numPr>
        <w:rPr>
          <w:rFonts w:hint="eastAsia"/>
          <w:sz w:val="21"/>
          <w:szCs w:val="21"/>
          <w:lang w:val="en-US" w:eastAsia="zh-CN"/>
        </w:rPr>
      </w:pPr>
      <w:r>
        <w:rPr>
          <w:rFonts w:hint="eastAsia"/>
          <w:sz w:val="21"/>
          <w:szCs w:val="21"/>
          <w:lang w:val="en-US" w:eastAsia="zh-CN"/>
        </w:rPr>
        <w:t>负责三个分会场（2个满足不少于350人的会议，1个满足不少于600人的会议）以及开幕式区域（不少于150人）的会场规划及舞美设计、搭建、现场会务服务等。每个会场应至少设置舞台、LED屏、灯光、音响、会议桌椅等。</w:t>
      </w:r>
    </w:p>
    <w:p>
      <w:pPr>
        <w:pStyle w:val="2"/>
        <w:numPr>
          <w:ilvl w:val="0"/>
          <w:numId w:val="32"/>
        </w:numPr>
        <w:rPr>
          <w:rFonts w:hint="default"/>
          <w:sz w:val="22"/>
          <w:szCs w:val="24"/>
          <w:lang w:val="en-US" w:eastAsia="zh-CN"/>
        </w:rPr>
      </w:pPr>
      <w:r>
        <w:rPr>
          <w:rFonts w:hint="eastAsia" w:cs="Times New Roman"/>
          <w:kern w:val="0"/>
          <w:sz w:val="21"/>
          <w:szCs w:val="21"/>
          <w:lang w:val="en-US" w:eastAsia="zh-CN" w:bidi="en-US"/>
        </w:rPr>
        <w:t>会场</w:t>
      </w:r>
      <w:r>
        <w:rPr>
          <w:rFonts w:hint="eastAsia" w:ascii="Calibri" w:hAnsi="Calibri" w:eastAsia="宋体" w:cs="Times New Roman"/>
          <w:kern w:val="0"/>
          <w:sz w:val="21"/>
          <w:szCs w:val="21"/>
          <w:lang w:val="en-US" w:eastAsia="zh-CN" w:bidi="en-US"/>
        </w:rPr>
        <w:t>设计应与主题相协调，符合</w:t>
      </w:r>
      <w:r>
        <w:rPr>
          <w:rFonts w:hint="eastAsia" w:cs="Times New Roman"/>
          <w:kern w:val="0"/>
          <w:sz w:val="21"/>
          <w:szCs w:val="21"/>
          <w:lang w:val="en-US" w:eastAsia="zh-CN" w:bidi="en-US"/>
        </w:rPr>
        <w:t>展会</w:t>
      </w:r>
      <w:r>
        <w:rPr>
          <w:rFonts w:hint="eastAsia" w:ascii="Calibri" w:hAnsi="Calibri" w:eastAsia="宋体" w:cs="Times New Roman"/>
          <w:kern w:val="0"/>
          <w:sz w:val="21"/>
          <w:szCs w:val="21"/>
          <w:lang w:val="en-US" w:eastAsia="zh-CN" w:bidi="en-US"/>
        </w:rPr>
        <w:t>理念。</w:t>
      </w:r>
    </w:p>
    <w:p>
      <w:pPr>
        <w:numPr>
          <w:ilvl w:val="0"/>
          <w:numId w:val="32"/>
        </w:numPr>
        <w:ind w:left="0" w:leftChars="0" w:firstLine="0" w:firstLineChars="0"/>
        <w:rPr>
          <w:rFonts w:hint="default"/>
          <w:lang w:val="en-US" w:eastAsia="zh-CN"/>
        </w:rPr>
      </w:pPr>
      <w:r>
        <w:rPr>
          <w:rFonts w:hint="eastAsia" w:cs="Times New Roman"/>
          <w:kern w:val="0"/>
          <w:sz w:val="21"/>
          <w:szCs w:val="21"/>
          <w:lang w:val="en-US" w:eastAsia="zh-CN" w:bidi="en-US"/>
        </w:rPr>
        <w:t>结构的设计应符合结构力学所需的荷载强度要求，确保舞台结构的整体强度、刚度、稳定性、可靠性和各连接点的牢固性、安全性、适用性和耐久性，无施工安全隐患。</w:t>
      </w:r>
    </w:p>
    <w:p>
      <w:pPr>
        <w:pStyle w:val="2"/>
        <w:numPr>
          <w:ilvl w:val="0"/>
          <w:numId w:val="32"/>
        </w:numPr>
        <w:ind w:left="0" w:leftChars="0" w:firstLine="0" w:firstLineChars="0"/>
        <w:rPr>
          <w:rFonts w:hint="eastAsia" w:cs="Times New Roman"/>
          <w:kern w:val="0"/>
          <w:sz w:val="21"/>
          <w:szCs w:val="21"/>
          <w:lang w:val="en-US" w:eastAsia="zh-CN" w:bidi="en-US"/>
        </w:rPr>
      </w:pPr>
      <w:r>
        <w:rPr>
          <w:rFonts w:hint="eastAsia" w:cs="Times New Roman"/>
          <w:kern w:val="0"/>
          <w:sz w:val="21"/>
          <w:szCs w:val="21"/>
          <w:lang w:val="en-US" w:eastAsia="zh-CN" w:bidi="en-US"/>
        </w:rPr>
        <w:t>服务包括会场设计、搭建、执行、会议物料、会场撤除等与之相关的一切人工、物料、交通等费用。</w:t>
      </w:r>
    </w:p>
    <w:p>
      <w:pPr>
        <w:pStyle w:val="2"/>
        <w:rPr>
          <w:rFonts w:hint="eastAsia" w:cs="Times New Roman"/>
          <w:b/>
          <w:bCs/>
          <w:kern w:val="0"/>
          <w:sz w:val="22"/>
          <w:szCs w:val="22"/>
          <w:lang w:val="en-US" w:eastAsia="zh-CN" w:bidi="en-US"/>
        </w:rPr>
      </w:pPr>
      <w:r>
        <w:rPr>
          <w:rFonts w:hint="eastAsia" w:cs="Times New Roman"/>
          <w:b/>
          <w:bCs/>
          <w:kern w:val="0"/>
          <w:sz w:val="22"/>
          <w:szCs w:val="22"/>
          <w:lang w:val="en-US" w:eastAsia="zh-CN" w:bidi="en-US"/>
        </w:rPr>
        <w:t>注：该部分最高投标限价40万元，凡投标报价超出最高投标限价均作否决投标处理。</w:t>
      </w:r>
    </w:p>
    <w:p>
      <w:pPr>
        <w:rPr>
          <w:rFonts w:hint="eastAsia" w:cs="Times New Roman"/>
          <w:b/>
          <w:bCs/>
          <w:kern w:val="0"/>
          <w:sz w:val="22"/>
          <w:szCs w:val="22"/>
          <w:lang w:val="en-US" w:eastAsia="zh-CN" w:bidi="en-US"/>
        </w:rPr>
      </w:pPr>
    </w:p>
    <w:p>
      <w:pPr>
        <w:rPr>
          <w:rFonts w:hint="default" w:cs="Times New Roman"/>
          <w:b/>
          <w:bCs/>
          <w:kern w:val="0"/>
          <w:sz w:val="22"/>
          <w:szCs w:val="22"/>
          <w:lang w:val="en-US" w:eastAsia="zh-CN" w:bidi="en-US"/>
        </w:rPr>
      </w:pPr>
      <w:r>
        <w:rPr>
          <w:rFonts w:hint="eastAsia" w:cs="Times New Roman"/>
          <w:b/>
          <w:bCs/>
          <w:kern w:val="0"/>
          <w:sz w:val="24"/>
          <w:szCs w:val="24"/>
          <w:lang w:val="en-US" w:eastAsia="zh-CN" w:bidi="en-US"/>
        </w:rPr>
        <w:t>（四）搭建商管理及推荐搭建商考察</w:t>
      </w:r>
    </w:p>
    <w:p>
      <w:pPr>
        <w:numPr>
          <w:ilvl w:val="0"/>
          <w:numId w:val="0"/>
        </w:numPr>
        <w:ind w:leftChars="0"/>
        <w:rPr>
          <w:rFonts w:hint="eastAsia" w:cs="Times New Roman"/>
          <w:kern w:val="0"/>
          <w:sz w:val="21"/>
          <w:szCs w:val="21"/>
          <w:lang w:val="en-US" w:eastAsia="zh-CN" w:bidi="en-US"/>
        </w:rPr>
      </w:pPr>
      <w:r>
        <w:rPr>
          <w:rFonts w:hint="eastAsia" w:cs="Times New Roman"/>
          <w:kern w:val="0"/>
          <w:sz w:val="21"/>
          <w:szCs w:val="21"/>
          <w:lang w:val="en-US" w:eastAsia="zh-CN" w:bidi="en-US"/>
        </w:rPr>
        <w:t>1. 制定跨境电商展的推荐搭建商管理及评选办法，并进行推荐搭建商的考察工作。</w:t>
      </w:r>
    </w:p>
    <w:p>
      <w:pPr>
        <w:numPr>
          <w:ilvl w:val="0"/>
          <w:numId w:val="0"/>
        </w:numPr>
        <w:ind w:leftChars="0"/>
        <w:rPr>
          <w:rFonts w:hint="default" w:cs="Times New Roman"/>
          <w:kern w:val="0"/>
          <w:sz w:val="21"/>
          <w:szCs w:val="21"/>
          <w:lang w:val="en-US" w:eastAsia="zh-CN" w:bidi="en-US"/>
        </w:rPr>
      </w:pPr>
      <w:r>
        <w:rPr>
          <w:rFonts w:hint="eastAsia" w:cs="Times New Roman"/>
          <w:kern w:val="0"/>
          <w:sz w:val="21"/>
          <w:szCs w:val="21"/>
          <w:lang w:val="en-US" w:eastAsia="zh-CN" w:bidi="en-US"/>
        </w:rPr>
        <w:t>2. 针对特装展位搭建商制定管理办法以及施工安全管理细则。</w:t>
      </w:r>
    </w:p>
    <w:p>
      <w:pPr>
        <w:numPr>
          <w:ilvl w:val="0"/>
          <w:numId w:val="0"/>
        </w:numPr>
        <w:ind w:leftChars="0"/>
        <w:rPr>
          <w:rFonts w:hint="eastAsia" w:cs="Times New Roman"/>
          <w:kern w:val="0"/>
          <w:sz w:val="21"/>
          <w:szCs w:val="21"/>
          <w:lang w:val="en-US" w:eastAsia="zh-CN" w:bidi="en-US"/>
        </w:rPr>
      </w:pPr>
      <w:r>
        <w:rPr>
          <w:rFonts w:hint="eastAsia" w:cs="Times New Roman"/>
          <w:kern w:val="0"/>
          <w:sz w:val="21"/>
          <w:szCs w:val="21"/>
          <w:lang w:val="en-US" w:eastAsia="zh-CN" w:bidi="en-US"/>
        </w:rPr>
        <w:t>3. 预计设置6-8家推荐搭建商，完成考察前的筹备及资料收集工作：包括但不限于注册资金；单一年度特装展位数量及全年金额；工厂占地面积及办公面积；工厂人员人数；工厂流程化管理是否健全；每年安全管理培训及证书；公司及员工的商业保险等。</w:t>
      </w:r>
    </w:p>
    <w:p>
      <w:pPr>
        <w:pStyle w:val="2"/>
        <w:rPr>
          <w:rFonts w:hint="eastAsia" w:cs="Times New Roman"/>
          <w:kern w:val="0"/>
          <w:sz w:val="21"/>
          <w:szCs w:val="21"/>
          <w:lang w:val="en-US" w:eastAsia="zh-CN" w:bidi="en-US"/>
        </w:rPr>
      </w:pPr>
    </w:p>
    <w:p>
      <w:pPr>
        <w:numPr>
          <w:ilvl w:val="0"/>
          <w:numId w:val="0"/>
        </w:numPr>
        <w:ind w:leftChars="0"/>
        <w:rPr>
          <w:rFonts w:hint="eastAsia" w:cs="Times New Roman"/>
          <w:b/>
          <w:bCs/>
          <w:kern w:val="0"/>
          <w:sz w:val="24"/>
          <w:szCs w:val="24"/>
          <w:lang w:val="en-US" w:eastAsia="zh-CN" w:bidi="en-US"/>
        </w:rPr>
      </w:pPr>
      <w:r>
        <w:rPr>
          <w:rFonts w:hint="eastAsia" w:cs="Times New Roman"/>
          <w:b/>
          <w:bCs/>
          <w:kern w:val="0"/>
          <w:sz w:val="24"/>
          <w:szCs w:val="24"/>
          <w:lang w:val="en-US" w:eastAsia="zh-CN" w:bidi="en-US"/>
        </w:rPr>
        <w:t>（五）接待服务</w:t>
      </w:r>
    </w:p>
    <w:p>
      <w:pPr>
        <w:pStyle w:val="2"/>
        <w:numPr>
          <w:ilvl w:val="0"/>
          <w:numId w:val="0"/>
        </w:numPr>
        <w:ind w:leftChars="0"/>
        <w:rPr>
          <w:rFonts w:hint="eastAsia" w:cs="Times New Roman"/>
          <w:kern w:val="0"/>
          <w:sz w:val="21"/>
          <w:szCs w:val="21"/>
          <w:lang w:val="en-US" w:eastAsia="zh-CN" w:bidi="en-US"/>
        </w:rPr>
      </w:pPr>
      <w:r>
        <w:rPr>
          <w:rFonts w:hint="eastAsia" w:ascii="Calibri" w:hAnsi="Calibri" w:eastAsia="宋体" w:cs="Times New Roman"/>
          <w:kern w:val="0"/>
          <w:sz w:val="21"/>
          <w:szCs w:val="21"/>
          <w:lang w:val="en-US" w:eastAsia="zh-CN" w:bidi="en-US"/>
        </w:rPr>
        <w:t>1.</w:t>
      </w:r>
      <w:r>
        <w:rPr>
          <w:rFonts w:hint="eastAsia" w:cs="Times New Roman"/>
          <w:kern w:val="0"/>
          <w:sz w:val="21"/>
          <w:szCs w:val="21"/>
          <w:lang w:val="en-US" w:eastAsia="zh-CN" w:bidi="en-US"/>
        </w:rPr>
        <w:t xml:space="preserve"> </w:t>
      </w:r>
      <w:r>
        <w:rPr>
          <w:rFonts w:hint="eastAsia" w:ascii="Calibri" w:hAnsi="Calibri" w:eastAsia="宋体" w:cs="Times New Roman"/>
          <w:kern w:val="0"/>
          <w:sz w:val="21"/>
          <w:szCs w:val="21"/>
          <w:lang w:val="en-US" w:eastAsia="zh-CN" w:bidi="en-US"/>
        </w:rPr>
        <w:t>应制定</w:t>
      </w:r>
      <w:r>
        <w:rPr>
          <w:rFonts w:hint="eastAsia" w:cs="Times New Roman"/>
          <w:kern w:val="0"/>
          <w:sz w:val="21"/>
          <w:szCs w:val="21"/>
          <w:lang w:val="en-US" w:eastAsia="zh-CN" w:bidi="en-US"/>
        </w:rPr>
        <w:t>不少于500位不同级别嘉宾</w:t>
      </w:r>
      <w:r>
        <w:rPr>
          <w:rFonts w:hint="eastAsia" w:ascii="Calibri" w:hAnsi="Calibri" w:eastAsia="宋体" w:cs="Times New Roman"/>
          <w:kern w:val="0"/>
          <w:sz w:val="21"/>
          <w:szCs w:val="21"/>
          <w:lang w:val="en-US" w:eastAsia="zh-CN" w:bidi="en-US"/>
        </w:rPr>
        <w:t>完整、具体的接待方案，包括但不限于车辆安排、酒店安排、嘉宾接待、参会代表签到、后勤保障等</w:t>
      </w:r>
      <w:r>
        <w:rPr>
          <w:rFonts w:hint="eastAsia" w:cs="Times New Roman"/>
          <w:kern w:val="0"/>
          <w:sz w:val="21"/>
          <w:szCs w:val="21"/>
          <w:lang w:val="en-US" w:eastAsia="zh-CN" w:bidi="en-US"/>
        </w:rPr>
        <w:t>。</w:t>
      </w:r>
    </w:p>
    <w:p>
      <w:pPr>
        <w:rPr>
          <w:rFonts w:hint="default" w:cs="Times New Roman"/>
          <w:kern w:val="0"/>
          <w:sz w:val="21"/>
          <w:szCs w:val="21"/>
          <w:lang w:val="en-US" w:eastAsia="zh-CN" w:bidi="en-US"/>
        </w:rPr>
      </w:pPr>
      <w:r>
        <w:rPr>
          <w:rFonts w:hint="eastAsia" w:cs="Times New Roman"/>
          <w:kern w:val="0"/>
          <w:sz w:val="21"/>
          <w:szCs w:val="21"/>
          <w:lang w:val="en-US" w:eastAsia="zh-CN" w:bidi="en-US"/>
        </w:rPr>
        <w:t>1.1 车辆保障要求：19座考斯特中巴接站4趟，19座考斯特中巴租用3辆/天（8小时）；7座商务车接送60趟，7座商务车租用15辆/天（8小时）；33座大巴接站1趟，33座大巴租用1辆/天（8小时）；45座大巴接站1趟，45座大巴租用15辆/天（8小时）；55座大巴接站1趟。具体数量根据实际接待人数需求而定。</w:t>
      </w:r>
    </w:p>
    <w:p>
      <w:pPr>
        <w:pStyle w:val="2"/>
        <w:rPr>
          <w:rFonts w:hint="default" w:cs="Times New Roman"/>
          <w:kern w:val="0"/>
          <w:sz w:val="21"/>
          <w:szCs w:val="21"/>
          <w:lang w:val="en-US" w:eastAsia="zh-CN" w:bidi="en-US"/>
        </w:rPr>
      </w:pPr>
      <w:r>
        <w:rPr>
          <w:rFonts w:hint="eastAsia" w:cs="Times New Roman"/>
          <w:kern w:val="0"/>
          <w:sz w:val="21"/>
          <w:szCs w:val="21"/>
          <w:lang w:val="en-US" w:eastAsia="zh-CN" w:bidi="en-US"/>
        </w:rPr>
        <w:t>1.2 代订票服务：包括但不限于动车高铁票、机票等。</w:t>
      </w:r>
    </w:p>
    <w:p>
      <w:pPr>
        <w:rPr>
          <w:rFonts w:hint="eastAsia" w:cs="Times New Roman"/>
          <w:kern w:val="0"/>
          <w:sz w:val="21"/>
          <w:szCs w:val="21"/>
          <w:lang w:val="en-US" w:eastAsia="zh-CN" w:bidi="en-US"/>
        </w:rPr>
      </w:pPr>
      <w:r>
        <w:rPr>
          <w:rFonts w:hint="eastAsia" w:cs="Times New Roman"/>
          <w:kern w:val="0"/>
          <w:sz w:val="21"/>
          <w:szCs w:val="21"/>
          <w:lang w:val="en-US" w:eastAsia="zh-CN" w:bidi="en-US"/>
        </w:rPr>
        <w:t>1.3 酒店安排：包括但不限于订房、分房、用餐、氛围及指示布置等服务。</w:t>
      </w:r>
    </w:p>
    <w:p>
      <w:pPr>
        <w:pStyle w:val="2"/>
        <w:rPr>
          <w:rFonts w:hint="default" w:cs="Times New Roman"/>
          <w:kern w:val="0"/>
          <w:sz w:val="21"/>
          <w:szCs w:val="21"/>
          <w:lang w:val="en-US" w:eastAsia="zh-CN" w:bidi="en-US"/>
        </w:rPr>
      </w:pPr>
      <w:r>
        <w:rPr>
          <w:rFonts w:hint="eastAsia" w:cs="Times New Roman"/>
          <w:kern w:val="0"/>
          <w:sz w:val="21"/>
          <w:szCs w:val="21"/>
          <w:lang w:val="en-US" w:eastAsia="zh-CN" w:bidi="en-US"/>
        </w:rPr>
        <w:t>1.4 工作人员需求：接机接站工作人员10名/天（10小时）；酒店组工作人员30名/天（10小时）；机动工作人员10名/天（10小时）。</w:t>
      </w:r>
    </w:p>
    <w:p>
      <w:pPr>
        <w:rPr>
          <w:rFonts w:hint="default"/>
          <w:lang w:val="en-US" w:eastAsia="zh-CN"/>
        </w:rPr>
      </w:pPr>
      <w:r>
        <w:rPr>
          <w:rFonts w:hint="eastAsia" w:cs="Times New Roman"/>
          <w:kern w:val="0"/>
          <w:sz w:val="21"/>
          <w:szCs w:val="21"/>
          <w:lang w:val="en-US" w:eastAsia="zh-CN" w:bidi="en-US"/>
        </w:rPr>
        <w:t>1.5 负责欢迎晚宴的会场设计、搭建、流程管理等。</w:t>
      </w:r>
    </w:p>
    <w:p>
      <w:pPr>
        <w:rPr>
          <w:rFonts w:hint="eastAsia" w:cs="Times New Roman"/>
          <w:kern w:val="0"/>
          <w:sz w:val="21"/>
          <w:szCs w:val="21"/>
          <w:lang w:val="en-US" w:eastAsia="zh-CN" w:bidi="en-US"/>
        </w:rPr>
      </w:pPr>
      <w:r>
        <w:rPr>
          <w:rFonts w:hint="eastAsia" w:cs="Times New Roman"/>
          <w:kern w:val="0"/>
          <w:sz w:val="21"/>
          <w:szCs w:val="21"/>
          <w:lang w:val="en-US" w:eastAsia="zh-CN" w:bidi="en-US"/>
        </w:rPr>
        <w:t>2. 应设置合理的人员分工并明确其职责，安排合理的时间进度，完成招标方交办的接待任务。</w:t>
      </w:r>
    </w:p>
    <w:p>
      <w:pPr>
        <w:pStyle w:val="2"/>
        <w:rPr>
          <w:rFonts w:hint="eastAsia" w:cs="Times New Roman"/>
          <w:kern w:val="0"/>
          <w:sz w:val="21"/>
          <w:szCs w:val="21"/>
          <w:lang w:val="en-US" w:eastAsia="zh-CN" w:bidi="en-US"/>
        </w:rPr>
      </w:pPr>
      <w:r>
        <w:rPr>
          <w:rFonts w:hint="eastAsia" w:cs="Times New Roman"/>
          <w:kern w:val="0"/>
          <w:sz w:val="21"/>
          <w:szCs w:val="21"/>
          <w:lang w:val="en-US" w:eastAsia="zh-CN" w:bidi="en-US"/>
        </w:rPr>
        <w:t>3. 报价参考格式：</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783"/>
        <w:gridCol w:w="1682"/>
        <w:gridCol w:w="868"/>
        <w:gridCol w:w="1275"/>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pacing w:line="240" w:lineRule="auto"/>
              <w:jc w:val="center"/>
              <w:rPr>
                <w:rFonts w:hint="default"/>
                <w:vertAlign w:val="baseline"/>
                <w:lang w:val="en-US" w:eastAsia="zh-CN"/>
              </w:rPr>
            </w:pPr>
            <w:r>
              <w:rPr>
                <w:rFonts w:hint="eastAsia"/>
                <w:vertAlign w:val="baseline"/>
                <w:lang w:val="en-US" w:eastAsia="zh-CN"/>
              </w:rPr>
              <w:t>序号</w:t>
            </w:r>
          </w:p>
        </w:tc>
        <w:tc>
          <w:tcPr>
            <w:tcW w:w="1783" w:type="dxa"/>
            <w:vAlign w:val="center"/>
          </w:tcPr>
          <w:p>
            <w:pPr>
              <w:spacing w:line="240" w:lineRule="auto"/>
              <w:jc w:val="center"/>
              <w:rPr>
                <w:rFonts w:hint="default"/>
                <w:vertAlign w:val="baseline"/>
                <w:lang w:val="en-US" w:eastAsia="zh-CN"/>
              </w:rPr>
            </w:pPr>
            <w:r>
              <w:rPr>
                <w:rFonts w:hint="eastAsia"/>
                <w:vertAlign w:val="baseline"/>
                <w:lang w:val="en-US" w:eastAsia="zh-CN"/>
              </w:rPr>
              <w:t>项目</w:t>
            </w:r>
          </w:p>
        </w:tc>
        <w:tc>
          <w:tcPr>
            <w:tcW w:w="1682" w:type="dxa"/>
            <w:vAlign w:val="center"/>
          </w:tcPr>
          <w:p>
            <w:pPr>
              <w:spacing w:line="240" w:lineRule="auto"/>
              <w:jc w:val="center"/>
              <w:rPr>
                <w:rFonts w:hint="default"/>
                <w:vertAlign w:val="baseline"/>
                <w:lang w:val="en-US" w:eastAsia="zh-CN"/>
              </w:rPr>
            </w:pPr>
            <w:r>
              <w:rPr>
                <w:rFonts w:hint="eastAsia"/>
                <w:vertAlign w:val="baseline"/>
                <w:lang w:val="en-US" w:eastAsia="zh-CN"/>
              </w:rPr>
              <w:t>说明</w:t>
            </w:r>
          </w:p>
        </w:tc>
        <w:tc>
          <w:tcPr>
            <w:tcW w:w="868" w:type="dxa"/>
            <w:vAlign w:val="center"/>
          </w:tcPr>
          <w:p>
            <w:pPr>
              <w:spacing w:line="240" w:lineRule="auto"/>
              <w:jc w:val="center"/>
              <w:rPr>
                <w:rFonts w:hint="default"/>
                <w:vertAlign w:val="baseline"/>
                <w:lang w:val="en-US" w:eastAsia="zh-CN"/>
              </w:rPr>
            </w:pPr>
            <w:r>
              <w:rPr>
                <w:rFonts w:hint="eastAsia"/>
                <w:vertAlign w:val="baseline"/>
                <w:lang w:val="en-US" w:eastAsia="zh-CN"/>
              </w:rPr>
              <w:t>单位</w:t>
            </w:r>
          </w:p>
        </w:tc>
        <w:tc>
          <w:tcPr>
            <w:tcW w:w="1275" w:type="dxa"/>
            <w:vAlign w:val="center"/>
          </w:tcPr>
          <w:p>
            <w:pPr>
              <w:spacing w:line="240" w:lineRule="auto"/>
              <w:jc w:val="center"/>
              <w:rPr>
                <w:rFonts w:hint="default"/>
                <w:vertAlign w:val="baseline"/>
                <w:lang w:val="en-US" w:eastAsia="zh-CN"/>
              </w:rPr>
            </w:pPr>
            <w:r>
              <w:rPr>
                <w:rFonts w:hint="eastAsia"/>
                <w:vertAlign w:val="baseline"/>
                <w:lang w:val="en-US" w:eastAsia="zh-CN"/>
              </w:rPr>
              <w:t>单价</w:t>
            </w:r>
          </w:p>
        </w:tc>
        <w:tc>
          <w:tcPr>
            <w:tcW w:w="1275" w:type="dxa"/>
            <w:vAlign w:val="center"/>
          </w:tcPr>
          <w:p>
            <w:pPr>
              <w:spacing w:line="240" w:lineRule="auto"/>
              <w:jc w:val="center"/>
              <w:rPr>
                <w:rFonts w:hint="default"/>
                <w:vertAlign w:val="baseline"/>
                <w:lang w:val="en-US" w:eastAsia="zh-CN"/>
              </w:rPr>
            </w:pPr>
            <w:r>
              <w:rPr>
                <w:rFonts w:hint="eastAsia"/>
                <w:vertAlign w:val="baseline"/>
                <w:lang w:val="en-US" w:eastAsia="zh-CN"/>
              </w:rPr>
              <w:t>数量</w:t>
            </w:r>
          </w:p>
        </w:tc>
        <w:tc>
          <w:tcPr>
            <w:tcW w:w="1275" w:type="dxa"/>
            <w:vAlign w:val="center"/>
          </w:tcPr>
          <w:p>
            <w:pPr>
              <w:spacing w:line="240" w:lineRule="auto"/>
              <w:jc w:val="center"/>
              <w:rPr>
                <w:rFonts w:hint="default"/>
                <w:vertAlign w:val="baseline"/>
                <w:lang w:val="en-US" w:eastAsia="zh-CN"/>
              </w:rPr>
            </w:pPr>
            <w:r>
              <w:rPr>
                <w:rFonts w:hint="eastAsia"/>
                <w:vertAlign w:val="baseline"/>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pacing w:line="240" w:lineRule="auto"/>
              <w:jc w:val="center"/>
              <w:rPr>
                <w:rFonts w:hint="default"/>
                <w:vertAlign w:val="baseline"/>
                <w:lang w:val="en-US" w:eastAsia="zh-CN"/>
              </w:rPr>
            </w:pPr>
            <w:r>
              <w:rPr>
                <w:rFonts w:hint="eastAsia"/>
                <w:vertAlign w:val="baseline"/>
                <w:lang w:val="en-US" w:eastAsia="zh-CN"/>
              </w:rPr>
              <w:t>1</w:t>
            </w:r>
          </w:p>
        </w:tc>
        <w:tc>
          <w:tcPr>
            <w:tcW w:w="1783" w:type="dxa"/>
            <w:vAlign w:val="center"/>
          </w:tcPr>
          <w:p>
            <w:pPr>
              <w:spacing w:line="240" w:lineRule="auto"/>
              <w:jc w:val="center"/>
              <w:rPr>
                <w:rFonts w:hint="default"/>
                <w:vertAlign w:val="baseline"/>
                <w:lang w:val="en-US" w:eastAsia="zh-CN"/>
              </w:rPr>
            </w:pPr>
            <w:r>
              <w:rPr>
                <w:rFonts w:hint="eastAsia"/>
                <w:vertAlign w:val="baseline"/>
                <w:lang w:val="en-US" w:eastAsia="zh-CN"/>
              </w:rPr>
              <w:t>中巴接站</w:t>
            </w:r>
          </w:p>
        </w:tc>
        <w:tc>
          <w:tcPr>
            <w:tcW w:w="1682" w:type="dxa"/>
            <w:vAlign w:val="center"/>
          </w:tcPr>
          <w:p>
            <w:pPr>
              <w:spacing w:line="240" w:lineRule="auto"/>
              <w:jc w:val="center"/>
              <w:rPr>
                <w:rFonts w:hint="default"/>
                <w:vertAlign w:val="baseline"/>
                <w:lang w:val="en-US" w:eastAsia="zh-CN"/>
              </w:rPr>
            </w:pPr>
            <w:r>
              <w:rPr>
                <w:rFonts w:hint="eastAsia"/>
                <w:vertAlign w:val="baseline"/>
                <w:lang w:val="en-US" w:eastAsia="zh-CN"/>
              </w:rPr>
              <w:t>19座考斯特</w:t>
            </w:r>
          </w:p>
        </w:tc>
        <w:tc>
          <w:tcPr>
            <w:tcW w:w="868" w:type="dxa"/>
            <w:vAlign w:val="center"/>
          </w:tcPr>
          <w:p>
            <w:pPr>
              <w:spacing w:line="240" w:lineRule="auto"/>
              <w:jc w:val="center"/>
              <w:rPr>
                <w:rFonts w:hint="default"/>
                <w:vertAlign w:val="baseline"/>
                <w:lang w:val="en-US" w:eastAsia="zh-CN"/>
              </w:rPr>
            </w:pPr>
            <w:r>
              <w:rPr>
                <w:rFonts w:hint="eastAsia"/>
                <w:vertAlign w:val="baseline"/>
                <w:lang w:val="en-US" w:eastAsia="zh-CN"/>
              </w:rPr>
              <w:t>趟</w:t>
            </w:r>
          </w:p>
        </w:tc>
        <w:tc>
          <w:tcPr>
            <w:tcW w:w="1275" w:type="dxa"/>
            <w:vAlign w:val="center"/>
          </w:tcPr>
          <w:p>
            <w:pPr>
              <w:spacing w:line="240" w:lineRule="auto"/>
              <w:jc w:val="center"/>
              <w:rPr>
                <w:rFonts w:hint="default"/>
                <w:vertAlign w:val="baseline"/>
                <w:lang w:val="en-US" w:eastAsia="zh-CN"/>
              </w:rPr>
            </w:pPr>
          </w:p>
        </w:tc>
        <w:tc>
          <w:tcPr>
            <w:tcW w:w="1275" w:type="dxa"/>
            <w:vAlign w:val="center"/>
          </w:tcPr>
          <w:p>
            <w:pPr>
              <w:spacing w:line="240" w:lineRule="auto"/>
              <w:jc w:val="center"/>
              <w:rPr>
                <w:rFonts w:hint="default"/>
                <w:vertAlign w:val="baseline"/>
                <w:lang w:val="en-US" w:eastAsia="zh-CN"/>
              </w:rPr>
            </w:pPr>
            <w:r>
              <w:rPr>
                <w:rFonts w:hint="eastAsia"/>
                <w:vertAlign w:val="baseline"/>
                <w:lang w:val="en-US" w:eastAsia="zh-CN"/>
              </w:rPr>
              <w:t>4</w:t>
            </w:r>
          </w:p>
        </w:tc>
        <w:tc>
          <w:tcPr>
            <w:tcW w:w="1275" w:type="dxa"/>
            <w:vAlign w:val="center"/>
          </w:tcPr>
          <w:p>
            <w:pPr>
              <w:spacing w:line="240" w:lineRule="auto"/>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pacing w:line="240" w:lineRule="auto"/>
              <w:jc w:val="center"/>
              <w:rPr>
                <w:rFonts w:hint="default"/>
                <w:vertAlign w:val="baseline"/>
                <w:lang w:val="en-US" w:eastAsia="zh-CN"/>
              </w:rPr>
            </w:pPr>
            <w:r>
              <w:rPr>
                <w:rFonts w:hint="eastAsia"/>
                <w:vertAlign w:val="baseline"/>
                <w:lang w:val="en-US" w:eastAsia="zh-CN"/>
              </w:rPr>
              <w:t>2</w:t>
            </w:r>
          </w:p>
        </w:tc>
        <w:tc>
          <w:tcPr>
            <w:tcW w:w="1783" w:type="dxa"/>
            <w:vAlign w:val="center"/>
          </w:tcPr>
          <w:p>
            <w:pPr>
              <w:spacing w:line="240" w:lineRule="auto"/>
              <w:jc w:val="center"/>
              <w:rPr>
                <w:rFonts w:hint="default"/>
                <w:vertAlign w:val="baseline"/>
                <w:lang w:val="en-US" w:eastAsia="zh-CN"/>
              </w:rPr>
            </w:pPr>
            <w:r>
              <w:rPr>
                <w:rFonts w:hint="eastAsia"/>
                <w:vertAlign w:val="baseline"/>
                <w:lang w:val="en-US" w:eastAsia="zh-CN"/>
              </w:rPr>
              <w:t>中巴租用</w:t>
            </w:r>
          </w:p>
        </w:tc>
        <w:tc>
          <w:tcPr>
            <w:tcW w:w="1682" w:type="dxa"/>
            <w:vAlign w:val="center"/>
          </w:tcPr>
          <w:p>
            <w:pPr>
              <w:spacing w:line="240" w:lineRule="auto"/>
              <w:jc w:val="center"/>
              <w:rPr>
                <w:rFonts w:hint="default"/>
                <w:vertAlign w:val="baseline"/>
                <w:lang w:val="en-US" w:eastAsia="zh-CN"/>
              </w:rPr>
            </w:pPr>
            <w:r>
              <w:rPr>
                <w:rFonts w:hint="eastAsia"/>
                <w:vertAlign w:val="baseline"/>
                <w:lang w:val="en-US" w:eastAsia="zh-CN"/>
              </w:rPr>
              <w:t>19座考斯特</w:t>
            </w:r>
          </w:p>
        </w:tc>
        <w:tc>
          <w:tcPr>
            <w:tcW w:w="868" w:type="dxa"/>
            <w:vAlign w:val="center"/>
          </w:tcPr>
          <w:p>
            <w:pPr>
              <w:spacing w:line="240" w:lineRule="auto"/>
              <w:jc w:val="center"/>
              <w:rPr>
                <w:rFonts w:hint="default"/>
                <w:vertAlign w:val="baseline"/>
                <w:lang w:val="en-US" w:eastAsia="zh-CN"/>
              </w:rPr>
            </w:pPr>
            <w:r>
              <w:rPr>
                <w:rFonts w:hint="eastAsia"/>
                <w:vertAlign w:val="baseline"/>
                <w:lang w:val="en-US" w:eastAsia="zh-CN"/>
              </w:rPr>
              <w:t>辆/天</w:t>
            </w:r>
          </w:p>
        </w:tc>
        <w:tc>
          <w:tcPr>
            <w:tcW w:w="1275" w:type="dxa"/>
            <w:vAlign w:val="center"/>
          </w:tcPr>
          <w:p>
            <w:pPr>
              <w:spacing w:line="240" w:lineRule="auto"/>
              <w:jc w:val="center"/>
              <w:rPr>
                <w:rFonts w:hint="default"/>
                <w:vertAlign w:val="baseline"/>
                <w:lang w:val="en-US" w:eastAsia="zh-CN"/>
              </w:rPr>
            </w:pPr>
          </w:p>
        </w:tc>
        <w:tc>
          <w:tcPr>
            <w:tcW w:w="1275" w:type="dxa"/>
            <w:vAlign w:val="center"/>
          </w:tcPr>
          <w:p>
            <w:pPr>
              <w:spacing w:line="240" w:lineRule="auto"/>
              <w:jc w:val="center"/>
              <w:rPr>
                <w:rFonts w:hint="default"/>
                <w:vertAlign w:val="baseline"/>
                <w:lang w:val="en-US" w:eastAsia="zh-CN"/>
              </w:rPr>
            </w:pPr>
            <w:r>
              <w:rPr>
                <w:rFonts w:hint="eastAsia"/>
                <w:vertAlign w:val="baseline"/>
                <w:lang w:val="en-US" w:eastAsia="zh-CN"/>
              </w:rPr>
              <w:t>3</w:t>
            </w:r>
          </w:p>
        </w:tc>
        <w:tc>
          <w:tcPr>
            <w:tcW w:w="1275" w:type="dxa"/>
            <w:vAlign w:val="center"/>
          </w:tcPr>
          <w:p>
            <w:pPr>
              <w:spacing w:line="240" w:lineRule="auto"/>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pacing w:line="240" w:lineRule="auto"/>
              <w:jc w:val="center"/>
              <w:rPr>
                <w:rFonts w:hint="default"/>
                <w:vertAlign w:val="baseline"/>
                <w:lang w:val="en-US" w:eastAsia="zh-CN"/>
              </w:rPr>
            </w:pPr>
            <w:r>
              <w:rPr>
                <w:rFonts w:hint="eastAsia"/>
                <w:vertAlign w:val="baseline"/>
                <w:lang w:val="en-US" w:eastAsia="zh-CN"/>
              </w:rPr>
              <w:t>3</w:t>
            </w:r>
          </w:p>
        </w:tc>
        <w:tc>
          <w:tcPr>
            <w:tcW w:w="1783" w:type="dxa"/>
            <w:vAlign w:val="center"/>
          </w:tcPr>
          <w:p>
            <w:pPr>
              <w:spacing w:line="240" w:lineRule="auto"/>
              <w:jc w:val="center"/>
              <w:rPr>
                <w:rFonts w:hint="default"/>
                <w:vertAlign w:val="baseline"/>
                <w:lang w:val="en-US" w:eastAsia="zh-CN"/>
              </w:rPr>
            </w:pPr>
            <w:r>
              <w:rPr>
                <w:rFonts w:hint="eastAsia"/>
                <w:vertAlign w:val="baseline"/>
                <w:lang w:val="en-US" w:eastAsia="zh-CN"/>
              </w:rPr>
              <w:t>商务车接送</w:t>
            </w:r>
          </w:p>
        </w:tc>
        <w:tc>
          <w:tcPr>
            <w:tcW w:w="1682" w:type="dxa"/>
            <w:vAlign w:val="center"/>
          </w:tcPr>
          <w:p>
            <w:pPr>
              <w:spacing w:line="240" w:lineRule="auto"/>
              <w:jc w:val="center"/>
              <w:rPr>
                <w:rFonts w:hint="default"/>
                <w:vertAlign w:val="baseline"/>
                <w:lang w:val="en-US" w:eastAsia="zh-CN"/>
              </w:rPr>
            </w:pPr>
            <w:r>
              <w:rPr>
                <w:rFonts w:hint="eastAsia"/>
                <w:vertAlign w:val="baseline"/>
                <w:lang w:val="en-US" w:eastAsia="zh-CN"/>
              </w:rPr>
              <w:t>7座</w:t>
            </w:r>
          </w:p>
        </w:tc>
        <w:tc>
          <w:tcPr>
            <w:tcW w:w="868" w:type="dxa"/>
            <w:vAlign w:val="center"/>
          </w:tcPr>
          <w:p>
            <w:pPr>
              <w:spacing w:line="240" w:lineRule="auto"/>
              <w:jc w:val="center"/>
              <w:rPr>
                <w:rFonts w:hint="default"/>
                <w:vertAlign w:val="baseline"/>
                <w:lang w:val="en-US" w:eastAsia="zh-CN"/>
              </w:rPr>
            </w:pPr>
            <w:r>
              <w:rPr>
                <w:rFonts w:hint="eastAsia"/>
                <w:vertAlign w:val="baseline"/>
                <w:lang w:val="en-US" w:eastAsia="zh-CN"/>
              </w:rPr>
              <w:t>趟</w:t>
            </w:r>
          </w:p>
        </w:tc>
        <w:tc>
          <w:tcPr>
            <w:tcW w:w="1275" w:type="dxa"/>
            <w:vAlign w:val="center"/>
          </w:tcPr>
          <w:p>
            <w:pPr>
              <w:spacing w:line="240" w:lineRule="auto"/>
              <w:jc w:val="center"/>
              <w:rPr>
                <w:rFonts w:hint="default"/>
                <w:vertAlign w:val="baseline"/>
                <w:lang w:val="en-US" w:eastAsia="zh-CN"/>
              </w:rPr>
            </w:pPr>
          </w:p>
        </w:tc>
        <w:tc>
          <w:tcPr>
            <w:tcW w:w="1275" w:type="dxa"/>
            <w:vAlign w:val="center"/>
          </w:tcPr>
          <w:p>
            <w:pPr>
              <w:spacing w:line="240" w:lineRule="auto"/>
              <w:jc w:val="center"/>
              <w:rPr>
                <w:rFonts w:hint="default"/>
                <w:vertAlign w:val="baseline"/>
                <w:lang w:val="en-US" w:eastAsia="zh-CN"/>
              </w:rPr>
            </w:pPr>
            <w:r>
              <w:rPr>
                <w:rFonts w:hint="eastAsia"/>
                <w:vertAlign w:val="baseline"/>
                <w:lang w:val="en-US" w:eastAsia="zh-CN"/>
              </w:rPr>
              <w:t>60</w:t>
            </w:r>
          </w:p>
        </w:tc>
        <w:tc>
          <w:tcPr>
            <w:tcW w:w="1275" w:type="dxa"/>
            <w:vAlign w:val="center"/>
          </w:tcPr>
          <w:p>
            <w:pPr>
              <w:spacing w:line="240" w:lineRule="auto"/>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pacing w:line="240" w:lineRule="auto"/>
              <w:jc w:val="center"/>
              <w:rPr>
                <w:rFonts w:hint="default"/>
                <w:vertAlign w:val="baseline"/>
                <w:lang w:val="en-US" w:eastAsia="zh-CN"/>
              </w:rPr>
            </w:pPr>
            <w:r>
              <w:rPr>
                <w:rFonts w:hint="eastAsia"/>
                <w:vertAlign w:val="baseline"/>
                <w:lang w:val="en-US" w:eastAsia="zh-CN"/>
              </w:rPr>
              <w:t>4</w:t>
            </w:r>
          </w:p>
        </w:tc>
        <w:tc>
          <w:tcPr>
            <w:tcW w:w="1783" w:type="dxa"/>
            <w:vAlign w:val="center"/>
          </w:tcPr>
          <w:p>
            <w:pPr>
              <w:spacing w:line="240" w:lineRule="auto"/>
              <w:jc w:val="center"/>
              <w:rPr>
                <w:rFonts w:hint="default"/>
                <w:vertAlign w:val="baseline"/>
                <w:lang w:val="en-US" w:eastAsia="zh-CN"/>
              </w:rPr>
            </w:pPr>
            <w:r>
              <w:rPr>
                <w:rFonts w:hint="eastAsia"/>
                <w:vertAlign w:val="baseline"/>
                <w:lang w:val="en-US" w:eastAsia="zh-CN"/>
              </w:rPr>
              <w:t>商务车租用</w:t>
            </w:r>
          </w:p>
        </w:tc>
        <w:tc>
          <w:tcPr>
            <w:tcW w:w="1682" w:type="dxa"/>
            <w:vAlign w:val="center"/>
          </w:tcPr>
          <w:p>
            <w:pPr>
              <w:spacing w:line="240" w:lineRule="auto"/>
              <w:jc w:val="center"/>
              <w:rPr>
                <w:rFonts w:hint="default"/>
                <w:vertAlign w:val="baseline"/>
                <w:lang w:val="en-US" w:eastAsia="zh-CN"/>
              </w:rPr>
            </w:pPr>
            <w:r>
              <w:rPr>
                <w:rFonts w:hint="eastAsia"/>
                <w:vertAlign w:val="baseline"/>
                <w:lang w:val="en-US" w:eastAsia="zh-CN"/>
              </w:rPr>
              <w:t>7座</w:t>
            </w:r>
          </w:p>
        </w:tc>
        <w:tc>
          <w:tcPr>
            <w:tcW w:w="868" w:type="dxa"/>
            <w:vAlign w:val="center"/>
          </w:tcPr>
          <w:p>
            <w:pPr>
              <w:spacing w:line="240" w:lineRule="auto"/>
              <w:jc w:val="center"/>
              <w:rPr>
                <w:rFonts w:hint="default"/>
                <w:vertAlign w:val="baseline"/>
                <w:lang w:val="en-US" w:eastAsia="zh-CN"/>
              </w:rPr>
            </w:pPr>
            <w:r>
              <w:rPr>
                <w:rFonts w:hint="eastAsia"/>
                <w:vertAlign w:val="baseline"/>
                <w:lang w:val="en-US" w:eastAsia="zh-CN"/>
              </w:rPr>
              <w:t>辆/天</w:t>
            </w:r>
          </w:p>
        </w:tc>
        <w:tc>
          <w:tcPr>
            <w:tcW w:w="1275" w:type="dxa"/>
            <w:vAlign w:val="center"/>
          </w:tcPr>
          <w:p>
            <w:pPr>
              <w:spacing w:line="240" w:lineRule="auto"/>
              <w:jc w:val="center"/>
              <w:rPr>
                <w:rFonts w:hint="default"/>
                <w:vertAlign w:val="baseline"/>
                <w:lang w:val="en-US" w:eastAsia="zh-CN"/>
              </w:rPr>
            </w:pPr>
          </w:p>
        </w:tc>
        <w:tc>
          <w:tcPr>
            <w:tcW w:w="1275" w:type="dxa"/>
            <w:vAlign w:val="center"/>
          </w:tcPr>
          <w:p>
            <w:pPr>
              <w:spacing w:line="240" w:lineRule="auto"/>
              <w:jc w:val="center"/>
              <w:rPr>
                <w:rFonts w:hint="default"/>
                <w:vertAlign w:val="baseline"/>
                <w:lang w:val="en-US" w:eastAsia="zh-CN"/>
              </w:rPr>
            </w:pPr>
            <w:r>
              <w:rPr>
                <w:rFonts w:hint="eastAsia"/>
                <w:vertAlign w:val="baseline"/>
                <w:lang w:val="en-US" w:eastAsia="zh-CN"/>
              </w:rPr>
              <w:t>15</w:t>
            </w:r>
          </w:p>
        </w:tc>
        <w:tc>
          <w:tcPr>
            <w:tcW w:w="1275" w:type="dxa"/>
            <w:vAlign w:val="center"/>
          </w:tcPr>
          <w:p>
            <w:pPr>
              <w:spacing w:line="240" w:lineRule="auto"/>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pacing w:line="240" w:lineRule="auto"/>
              <w:jc w:val="center"/>
              <w:rPr>
                <w:rFonts w:hint="default"/>
                <w:vertAlign w:val="baseline"/>
                <w:lang w:val="en-US" w:eastAsia="zh-CN"/>
              </w:rPr>
            </w:pPr>
            <w:r>
              <w:rPr>
                <w:rFonts w:hint="eastAsia"/>
                <w:vertAlign w:val="baseline"/>
                <w:lang w:val="en-US" w:eastAsia="zh-CN"/>
              </w:rPr>
              <w:t>5</w:t>
            </w:r>
          </w:p>
        </w:tc>
        <w:tc>
          <w:tcPr>
            <w:tcW w:w="1783" w:type="dxa"/>
            <w:vAlign w:val="center"/>
          </w:tcPr>
          <w:p>
            <w:pPr>
              <w:spacing w:line="240" w:lineRule="auto"/>
              <w:jc w:val="center"/>
              <w:rPr>
                <w:rFonts w:hint="default"/>
                <w:vertAlign w:val="baseline"/>
                <w:lang w:val="en-US" w:eastAsia="zh-CN"/>
              </w:rPr>
            </w:pPr>
            <w:r>
              <w:rPr>
                <w:rFonts w:hint="eastAsia"/>
                <w:vertAlign w:val="baseline"/>
                <w:lang w:val="en-US" w:eastAsia="zh-CN"/>
              </w:rPr>
              <w:t>大巴接站</w:t>
            </w:r>
          </w:p>
        </w:tc>
        <w:tc>
          <w:tcPr>
            <w:tcW w:w="1682" w:type="dxa"/>
            <w:vAlign w:val="center"/>
          </w:tcPr>
          <w:p>
            <w:pPr>
              <w:spacing w:line="240" w:lineRule="auto"/>
              <w:jc w:val="center"/>
              <w:rPr>
                <w:rFonts w:hint="default"/>
                <w:vertAlign w:val="baseline"/>
                <w:lang w:val="en-US" w:eastAsia="zh-CN"/>
              </w:rPr>
            </w:pPr>
            <w:r>
              <w:rPr>
                <w:rFonts w:hint="eastAsia"/>
                <w:vertAlign w:val="baseline"/>
                <w:lang w:val="en-US" w:eastAsia="zh-CN"/>
              </w:rPr>
              <w:t>33座</w:t>
            </w:r>
          </w:p>
        </w:tc>
        <w:tc>
          <w:tcPr>
            <w:tcW w:w="868" w:type="dxa"/>
            <w:vAlign w:val="center"/>
          </w:tcPr>
          <w:p>
            <w:pPr>
              <w:spacing w:line="240" w:lineRule="auto"/>
              <w:jc w:val="center"/>
              <w:rPr>
                <w:rFonts w:hint="default"/>
                <w:vertAlign w:val="baseline"/>
                <w:lang w:val="en-US" w:eastAsia="zh-CN"/>
              </w:rPr>
            </w:pPr>
            <w:r>
              <w:rPr>
                <w:rFonts w:hint="eastAsia"/>
                <w:vertAlign w:val="baseline"/>
                <w:lang w:val="en-US" w:eastAsia="zh-CN"/>
              </w:rPr>
              <w:t>趟</w:t>
            </w:r>
          </w:p>
        </w:tc>
        <w:tc>
          <w:tcPr>
            <w:tcW w:w="1275" w:type="dxa"/>
            <w:vAlign w:val="center"/>
          </w:tcPr>
          <w:p>
            <w:pPr>
              <w:spacing w:line="240" w:lineRule="auto"/>
              <w:jc w:val="center"/>
              <w:rPr>
                <w:rFonts w:hint="default"/>
                <w:vertAlign w:val="baseline"/>
                <w:lang w:val="en-US" w:eastAsia="zh-CN"/>
              </w:rPr>
            </w:pPr>
          </w:p>
        </w:tc>
        <w:tc>
          <w:tcPr>
            <w:tcW w:w="1275" w:type="dxa"/>
            <w:vAlign w:val="center"/>
          </w:tcPr>
          <w:p>
            <w:pPr>
              <w:spacing w:line="240" w:lineRule="auto"/>
              <w:jc w:val="center"/>
              <w:rPr>
                <w:rFonts w:hint="default"/>
                <w:vertAlign w:val="baseline"/>
                <w:lang w:val="en-US" w:eastAsia="zh-CN"/>
              </w:rPr>
            </w:pPr>
            <w:r>
              <w:rPr>
                <w:rFonts w:hint="eastAsia"/>
                <w:vertAlign w:val="baseline"/>
                <w:lang w:val="en-US" w:eastAsia="zh-CN"/>
              </w:rPr>
              <w:t>1</w:t>
            </w:r>
          </w:p>
        </w:tc>
        <w:tc>
          <w:tcPr>
            <w:tcW w:w="1275" w:type="dxa"/>
            <w:vAlign w:val="center"/>
          </w:tcPr>
          <w:p>
            <w:pPr>
              <w:spacing w:line="240" w:lineRule="auto"/>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pacing w:line="240" w:lineRule="auto"/>
              <w:jc w:val="center"/>
              <w:rPr>
                <w:rFonts w:hint="default"/>
                <w:vertAlign w:val="baseline"/>
                <w:lang w:val="en-US" w:eastAsia="zh-CN"/>
              </w:rPr>
            </w:pPr>
            <w:r>
              <w:rPr>
                <w:rFonts w:hint="eastAsia"/>
                <w:vertAlign w:val="baseline"/>
                <w:lang w:val="en-US" w:eastAsia="zh-CN"/>
              </w:rPr>
              <w:t>6</w:t>
            </w:r>
          </w:p>
        </w:tc>
        <w:tc>
          <w:tcPr>
            <w:tcW w:w="1783" w:type="dxa"/>
            <w:vAlign w:val="center"/>
          </w:tcPr>
          <w:p>
            <w:pPr>
              <w:spacing w:line="240" w:lineRule="auto"/>
              <w:jc w:val="center"/>
              <w:rPr>
                <w:rFonts w:hint="default"/>
                <w:vertAlign w:val="baseline"/>
                <w:lang w:val="en-US" w:eastAsia="zh-CN"/>
              </w:rPr>
            </w:pPr>
            <w:r>
              <w:rPr>
                <w:rFonts w:hint="eastAsia"/>
                <w:vertAlign w:val="baseline"/>
                <w:lang w:val="en-US" w:eastAsia="zh-CN"/>
              </w:rPr>
              <w:t>大巴租用</w:t>
            </w:r>
          </w:p>
        </w:tc>
        <w:tc>
          <w:tcPr>
            <w:tcW w:w="1682" w:type="dxa"/>
            <w:vAlign w:val="center"/>
          </w:tcPr>
          <w:p>
            <w:pPr>
              <w:spacing w:line="240" w:lineRule="auto"/>
              <w:jc w:val="center"/>
              <w:rPr>
                <w:rFonts w:hint="default"/>
                <w:vertAlign w:val="baseline"/>
                <w:lang w:val="en-US" w:eastAsia="zh-CN"/>
              </w:rPr>
            </w:pPr>
            <w:r>
              <w:rPr>
                <w:rFonts w:hint="eastAsia"/>
                <w:vertAlign w:val="baseline"/>
                <w:lang w:val="en-US" w:eastAsia="zh-CN"/>
              </w:rPr>
              <w:t>33座</w:t>
            </w:r>
          </w:p>
        </w:tc>
        <w:tc>
          <w:tcPr>
            <w:tcW w:w="868" w:type="dxa"/>
            <w:vAlign w:val="center"/>
          </w:tcPr>
          <w:p>
            <w:pPr>
              <w:spacing w:line="240" w:lineRule="auto"/>
              <w:jc w:val="center"/>
              <w:rPr>
                <w:rFonts w:hint="default"/>
                <w:vertAlign w:val="baseline"/>
                <w:lang w:val="en-US" w:eastAsia="zh-CN"/>
              </w:rPr>
            </w:pPr>
            <w:r>
              <w:rPr>
                <w:rFonts w:hint="eastAsia"/>
                <w:vertAlign w:val="baseline"/>
                <w:lang w:val="en-US" w:eastAsia="zh-CN"/>
              </w:rPr>
              <w:t>辆/天</w:t>
            </w:r>
          </w:p>
        </w:tc>
        <w:tc>
          <w:tcPr>
            <w:tcW w:w="1275" w:type="dxa"/>
            <w:vAlign w:val="center"/>
          </w:tcPr>
          <w:p>
            <w:pPr>
              <w:spacing w:line="240" w:lineRule="auto"/>
              <w:jc w:val="center"/>
              <w:rPr>
                <w:rFonts w:hint="default"/>
                <w:vertAlign w:val="baseline"/>
                <w:lang w:val="en-US" w:eastAsia="zh-CN"/>
              </w:rPr>
            </w:pPr>
          </w:p>
        </w:tc>
        <w:tc>
          <w:tcPr>
            <w:tcW w:w="1275" w:type="dxa"/>
            <w:vAlign w:val="center"/>
          </w:tcPr>
          <w:p>
            <w:pPr>
              <w:spacing w:line="240" w:lineRule="auto"/>
              <w:jc w:val="center"/>
              <w:rPr>
                <w:rFonts w:hint="default"/>
                <w:vertAlign w:val="baseline"/>
                <w:lang w:val="en-US" w:eastAsia="zh-CN"/>
              </w:rPr>
            </w:pPr>
            <w:r>
              <w:rPr>
                <w:rFonts w:hint="eastAsia"/>
                <w:vertAlign w:val="baseline"/>
                <w:lang w:val="en-US" w:eastAsia="zh-CN"/>
              </w:rPr>
              <w:t>1</w:t>
            </w:r>
          </w:p>
        </w:tc>
        <w:tc>
          <w:tcPr>
            <w:tcW w:w="1275" w:type="dxa"/>
            <w:vAlign w:val="center"/>
          </w:tcPr>
          <w:p>
            <w:pPr>
              <w:spacing w:line="240" w:lineRule="auto"/>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pacing w:line="240" w:lineRule="auto"/>
              <w:jc w:val="center"/>
              <w:rPr>
                <w:rFonts w:hint="default"/>
                <w:vertAlign w:val="baseline"/>
                <w:lang w:val="en-US" w:eastAsia="zh-CN"/>
              </w:rPr>
            </w:pPr>
            <w:r>
              <w:rPr>
                <w:rFonts w:hint="eastAsia"/>
                <w:vertAlign w:val="baseline"/>
                <w:lang w:val="en-US" w:eastAsia="zh-CN"/>
              </w:rPr>
              <w:t>7</w:t>
            </w:r>
          </w:p>
        </w:tc>
        <w:tc>
          <w:tcPr>
            <w:tcW w:w="1783" w:type="dxa"/>
            <w:vAlign w:val="center"/>
          </w:tcPr>
          <w:p>
            <w:pPr>
              <w:spacing w:line="240" w:lineRule="auto"/>
              <w:jc w:val="center"/>
              <w:rPr>
                <w:rFonts w:hint="default"/>
                <w:vertAlign w:val="baseline"/>
                <w:lang w:val="en-US" w:eastAsia="zh-CN"/>
              </w:rPr>
            </w:pPr>
            <w:r>
              <w:rPr>
                <w:rFonts w:hint="eastAsia"/>
                <w:vertAlign w:val="baseline"/>
                <w:lang w:val="en-US" w:eastAsia="zh-CN"/>
              </w:rPr>
              <w:t>大巴接站</w:t>
            </w:r>
          </w:p>
        </w:tc>
        <w:tc>
          <w:tcPr>
            <w:tcW w:w="1682" w:type="dxa"/>
            <w:vAlign w:val="center"/>
          </w:tcPr>
          <w:p>
            <w:pPr>
              <w:spacing w:line="240" w:lineRule="auto"/>
              <w:jc w:val="center"/>
              <w:rPr>
                <w:rFonts w:hint="default"/>
                <w:vertAlign w:val="baseline"/>
                <w:lang w:val="en-US" w:eastAsia="zh-CN"/>
              </w:rPr>
            </w:pPr>
            <w:r>
              <w:rPr>
                <w:rFonts w:hint="eastAsia"/>
                <w:vertAlign w:val="baseline"/>
                <w:lang w:val="en-US" w:eastAsia="zh-CN"/>
              </w:rPr>
              <w:t>45座</w:t>
            </w:r>
          </w:p>
        </w:tc>
        <w:tc>
          <w:tcPr>
            <w:tcW w:w="868" w:type="dxa"/>
            <w:vAlign w:val="center"/>
          </w:tcPr>
          <w:p>
            <w:pPr>
              <w:spacing w:line="240" w:lineRule="auto"/>
              <w:jc w:val="center"/>
              <w:rPr>
                <w:rFonts w:hint="default"/>
                <w:vertAlign w:val="baseline"/>
                <w:lang w:val="en-US" w:eastAsia="zh-CN"/>
              </w:rPr>
            </w:pPr>
            <w:r>
              <w:rPr>
                <w:rFonts w:hint="eastAsia"/>
                <w:vertAlign w:val="baseline"/>
                <w:lang w:val="en-US" w:eastAsia="zh-CN"/>
              </w:rPr>
              <w:t>趟</w:t>
            </w:r>
          </w:p>
        </w:tc>
        <w:tc>
          <w:tcPr>
            <w:tcW w:w="1275" w:type="dxa"/>
            <w:vAlign w:val="center"/>
          </w:tcPr>
          <w:p>
            <w:pPr>
              <w:spacing w:line="240" w:lineRule="auto"/>
              <w:jc w:val="center"/>
              <w:rPr>
                <w:rFonts w:hint="default"/>
                <w:vertAlign w:val="baseline"/>
                <w:lang w:val="en-US" w:eastAsia="zh-CN"/>
              </w:rPr>
            </w:pPr>
          </w:p>
        </w:tc>
        <w:tc>
          <w:tcPr>
            <w:tcW w:w="1275" w:type="dxa"/>
            <w:vAlign w:val="center"/>
          </w:tcPr>
          <w:p>
            <w:pPr>
              <w:spacing w:line="240" w:lineRule="auto"/>
              <w:jc w:val="center"/>
              <w:rPr>
                <w:rFonts w:hint="default"/>
                <w:vertAlign w:val="baseline"/>
                <w:lang w:val="en-US" w:eastAsia="zh-CN"/>
              </w:rPr>
            </w:pPr>
            <w:r>
              <w:rPr>
                <w:rFonts w:hint="eastAsia"/>
                <w:vertAlign w:val="baseline"/>
                <w:lang w:val="en-US" w:eastAsia="zh-CN"/>
              </w:rPr>
              <w:t>1</w:t>
            </w:r>
          </w:p>
        </w:tc>
        <w:tc>
          <w:tcPr>
            <w:tcW w:w="1275" w:type="dxa"/>
            <w:vAlign w:val="center"/>
          </w:tcPr>
          <w:p>
            <w:pPr>
              <w:spacing w:line="240" w:lineRule="auto"/>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pacing w:line="240" w:lineRule="auto"/>
              <w:jc w:val="center"/>
              <w:rPr>
                <w:rFonts w:hint="default"/>
                <w:vertAlign w:val="baseline"/>
                <w:lang w:val="en-US" w:eastAsia="zh-CN"/>
              </w:rPr>
            </w:pPr>
            <w:r>
              <w:rPr>
                <w:rFonts w:hint="eastAsia"/>
                <w:vertAlign w:val="baseline"/>
                <w:lang w:val="en-US" w:eastAsia="zh-CN"/>
              </w:rPr>
              <w:t>8</w:t>
            </w:r>
          </w:p>
        </w:tc>
        <w:tc>
          <w:tcPr>
            <w:tcW w:w="1783" w:type="dxa"/>
            <w:vAlign w:val="center"/>
          </w:tcPr>
          <w:p>
            <w:pPr>
              <w:spacing w:line="240" w:lineRule="auto"/>
              <w:jc w:val="center"/>
              <w:rPr>
                <w:rFonts w:hint="default"/>
                <w:vertAlign w:val="baseline"/>
                <w:lang w:val="en-US" w:eastAsia="zh-CN"/>
              </w:rPr>
            </w:pPr>
            <w:r>
              <w:rPr>
                <w:rFonts w:hint="eastAsia"/>
                <w:vertAlign w:val="baseline"/>
                <w:lang w:val="en-US" w:eastAsia="zh-CN"/>
              </w:rPr>
              <w:t>大巴租用</w:t>
            </w:r>
          </w:p>
        </w:tc>
        <w:tc>
          <w:tcPr>
            <w:tcW w:w="1682" w:type="dxa"/>
            <w:vAlign w:val="center"/>
          </w:tcPr>
          <w:p>
            <w:pPr>
              <w:spacing w:line="240" w:lineRule="auto"/>
              <w:jc w:val="center"/>
              <w:rPr>
                <w:rFonts w:hint="default"/>
                <w:vertAlign w:val="baseline"/>
                <w:lang w:val="en-US" w:eastAsia="zh-CN"/>
              </w:rPr>
            </w:pPr>
            <w:r>
              <w:rPr>
                <w:rFonts w:hint="eastAsia"/>
                <w:vertAlign w:val="baseline"/>
                <w:lang w:val="en-US" w:eastAsia="zh-CN"/>
              </w:rPr>
              <w:t>45座</w:t>
            </w:r>
          </w:p>
        </w:tc>
        <w:tc>
          <w:tcPr>
            <w:tcW w:w="868" w:type="dxa"/>
            <w:vAlign w:val="center"/>
          </w:tcPr>
          <w:p>
            <w:pPr>
              <w:spacing w:line="240" w:lineRule="auto"/>
              <w:jc w:val="center"/>
              <w:rPr>
                <w:rFonts w:hint="default"/>
                <w:vertAlign w:val="baseline"/>
                <w:lang w:val="en-US" w:eastAsia="zh-CN"/>
              </w:rPr>
            </w:pPr>
            <w:r>
              <w:rPr>
                <w:rFonts w:hint="eastAsia"/>
                <w:vertAlign w:val="baseline"/>
                <w:lang w:val="en-US" w:eastAsia="zh-CN"/>
              </w:rPr>
              <w:t>辆/天</w:t>
            </w:r>
          </w:p>
        </w:tc>
        <w:tc>
          <w:tcPr>
            <w:tcW w:w="1275" w:type="dxa"/>
            <w:vAlign w:val="center"/>
          </w:tcPr>
          <w:p>
            <w:pPr>
              <w:spacing w:line="240" w:lineRule="auto"/>
              <w:jc w:val="center"/>
              <w:rPr>
                <w:rFonts w:hint="default"/>
                <w:vertAlign w:val="baseline"/>
                <w:lang w:val="en-US" w:eastAsia="zh-CN"/>
              </w:rPr>
            </w:pPr>
          </w:p>
        </w:tc>
        <w:tc>
          <w:tcPr>
            <w:tcW w:w="1275" w:type="dxa"/>
            <w:vAlign w:val="center"/>
          </w:tcPr>
          <w:p>
            <w:pPr>
              <w:spacing w:line="240" w:lineRule="auto"/>
              <w:jc w:val="center"/>
              <w:rPr>
                <w:rFonts w:hint="default"/>
                <w:vertAlign w:val="baseline"/>
                <w:lang w:val="en-US" w:eastAsia="zh-CN"/>
              </w:rPr>
            </w:pPr>
            <w:r>
              <w:rPr>
                <w:rFonts w:hint="eastAsia"/>
                <w:vertAlign w:val="baseline"/>
                <w:lang w:val="en-US" w:eastAsia="zh-CN"/>
              </w:rPr>
              <w:t>15</w:t>
            </w:r>
          </w:p>
        </w:tc>
        <w:tc>
          <w:tcPr>
            <w:tcW w:w="1275" w:type="dxa"/>
            <w:vAlign w:val="center"/>
          </w:tcPr>
          <w:p>
            <w:pPr>
              <w:spacing w:line="240" w:lineRule="auto"/>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pacing w:line="240" w:lineRule="auto"/>
              <w:jc w:val="center"/>
              <w:rPr>
                <w:rFonts w:hint="default"/>
                <w:vertAlign w:val="baseline"/>
                <w:lang w:val="en-US" w:eastAsia="zh-CN"/>
              </w:rPr>
            </w:pPr>
            <w:r>
              <w:rPr>
                <w:rFonts w:hint="eastAsia"/>
                <w:vertAlign w:val="baseline"/>
                <w:lang w:val="en-US" w:eastAsia="zh-CN"/>
              </w:rPr>
              <w:t>9</w:t>
            </w:r>
          </w:p>
        </w:tc>
        <w:tc>
          <w:tcPr>
            <w:tcW w:w="1783" w:type="dxa"/>
            <w:vAlign w:val="center"/>
          </w:tcPr>
          <w:p>
            <w:pPr>
              <w:spacing w:line="240" w:lineRule="auto"/>
              <w:jc w:val="center"/>
              <w:rPr>
                <w:rFonts w:hint="default"/>
                <w:vertAlign w:val="baseline"/>
                <w:lang w:val="en-US" w:eastAsia="zh-CN"/>
              </w:rPr>
            </w:pPr>
            <w:r>
              <w:rPr>
                <w:rFonts w:hint="eastAsia"/>
                <w:vertAlign w:val="baseline"/>
                <w:lang w:val="en-US" w:eastAsia="zh-CN"/>
              </w:rPr>
              <w:t>大巴接站</w:t>
            </w:r>
          </w:p>
        </w:tc>
        <w:tc>
          <w:tcPr>
            <w:tcW w:w="1682" w:type="dxa"/>
            <w:vAlign w:val="center"/>
          </w:tcPr>
          <w:p>
            <w:pPr>
              <w:spacing w:line="240" w:lineRule="auto"/>
              <w:jc w:val="center"/>
              <w:rPr>
                <w:rFonts w:hint="default"/>
                <w:vertAlign w:val="baseline"/>
                <w:lang w:val="en-US" w:eastAsia="zh-CN"/>
              </w:rPr>
            </w:pPr>
            <w:r>
              <w:rPr>
                <w:rFonts w:hint="eastAsia"/>
                <w:vertAlign w:val="baseline"/>
                <w:lang w:val="en-US" w:eastAsia="zh-CN"/>
              </w:rPr>
              <w:t>55座</w:t>
            </w:r>
          </w:p>
        </w:tc>
        <w:tc>
          <w:tcPr>
            <w:tcW w:w="868" w:type="dxa"/>
            <w:vAlign w:val="center"/>
          </w:tcPr>
          <w:p>
            <w:pPr>
              <w:spacing w:line="240" w:lineRule="auto"/>
              <w:jc w:val="center"/>
              <w:rPr>
                <w:rFonts w:hint="default"/>
                <w:vertAlign w:val="baseline"/>
                <w:lang w:val="en-US" w:eastAsia="zh-CN"/>
              </w:rPr>
            </w:pPr>
            <w:r>
              <w:rPr>
                <w:rFonts w:hint="eastAsia"/>
                <w:vertAlign w:val="baseline"/>
                <w:lang w:val="en-US" w:eastAsia="zh-CN"/>
              </w:rPr>
              <w:t>趟</w:t>
            </w:r>
          </w:p>
        </w:tc>
        <w:tc>
          <w:tcPr>
            <w:tcW w:w="1275" w:type="dxa"/>
            <w:vAlign w:val="center"/>
          </w:tcPr>
          <w:p>
            <w:pPr>
              <w:spacing w:line="240" w:lineRule="auto"/>
              <w:jc w:val="center"/>
              <w:rPr>
                <w:rFonts w:hint="default"/>
                <w:vertAlign w:val="baseline"/>
                <w:lang w:val="en-US" w:eastAsia="zh-CN"/>
              </w:rPr>
            </w:pPr>
          </w:p>
        </w:tc>
        <w:tc>
          <w:tcPr>
            <w:tcW w:w="1275" w:type="dxa"/>
            <w:vAlign w:val="center"/>
          </w:tcPr>
          <w:p>
            <w:pPr>
              <w:spacing w:line="240" w:lineRule="auto"/>
              <w:jc w:val="center"/>
              <w:rPr>
                <w:rFonts w:hint="default"/>
                <w:vertAlign w:val="baseline"/>
                <w:lang w:val="en-US" w:eastAsia="zh-CN"/>
              </w:rPr>
            </w:pPr>
            <w:r>
              <w:rPr>
                <w:rFonts w:hint="eastAsia"/>
                <w:vertAlign w:val="baseline"/>
                <w:lang w:val="en-US" w:eastAsia="zh-CN"/>
              </w:rPr>
              <w:t>1</w:t>
            </w:r>
          </w:p>
        </w:tc>
        <w:tc>
          <w:tcPr>
            <w:tcW w:w="1275" w:type="dxa"/>
            <w:vAlign w:val="center"/>
          </w:tcPr>
          <w:p>
            <w:pPr>
              <w:spacing w:line="240" w:lineRule="auto"/>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pacing w:line="240" w:lineRule="auto"/>
              <w:jc w:val="center"/>
              <w:rPr>
                <w:rFonts w:hint="default"/>
                <w:vertAlign w:val="baseline"/>
                <w:lang w:val="en-US" w:eastAsia="zh-CN"/>
              </w:rPr>
            </w:pPr>
            <w:r>
              <w:rPr>
                <w:rFonts w:hint="eastAsia"/>
                <w:vertAlign w:val="baseline"/>
                <w:lang w:val="en-US" w:eastAsia="zh-CN"/>
              </w:rPr>
              <w:t>10</w:t>
            </w:r>
          </w:p>
        </w:tc>
        <w:tc>
          <w:tcPr>
            <w:tcW w:w="1783" w:type="dxa"/>
            <w:vAlign w:val="center"/>
          </w:tcPr>
          <w:p>
            <w:pPr>
              <w:spacing w:line="240" w:lineRule="auto"/>
              <w:jc w:val="center"/>
              <w:rPr>
                <w:rFonts w:hint="default"/>
                <w:vertAlign w:val="baseline"/>
                <w:lang w:val="en-US" w:eastAsia="zh-CN"/>
              </w:rPr>
            </w:pPr>
            <w:r>
              <w:rPr>
                <w:rFonts w:hint="eastAsia"/>
                <w:vertAlign w:val="baseline"/>
                <w:lang w:val="en-US" w:eastAsia="zh-CN"/>
              </w:rPr>
              <w:t>工作人员</w:t>
            </w:r>
          </w:p>
        </w:tc>
        <w:tc>
          <w:tcPr>
            <w:tcW w:w="1682" w:type="dxa"/>
            <w:vAlign w:val="center"/>
          </w:tcPr>
          <w:p>
            <w:pPr>
              <w:spacing w:line="240" w:lineRule="auto"/>
              <w:jc w:val="center"/>
              <w:rPr>
                <w:rFonts w:hint="default"/>
                <w:vertAlign w:val="baseline"/>
                <w:lang w:val="en-US" w:eastAsia="zh-CN"/>
              </w:rPr>
            </w:pPr>
            <w:r>
              <w:rPr>
                <w:rFonts w:hint="eastAsia"/>
                <w:vertAlign w:val="baseline"/>
                <w:lang w:val="en-US" w:eastAsia="zh-CN"/>
              </w:rPr>
              <w:t>接机接站</w:t>
            </w:r>
          </w:p>
        </w:tc>
        <w:tc>
          <w:tcPr>
            <w:tcW w:w="868" w:type="dxa"/>
            <w:vAlign w:val="center"/>
          </w:tcPr>
          <w:p>
            <w:pPr>
              <w:spacing w:line="240" w:lineRule="auto"/>
              <w:jc w:val="center"/>
              <w:rPr>
                <w:rFonts w:hint="default"/>
                <w:vertAlign w:val="baseline"/>
                <w:lang w:val="en-US" w:eastAsia="zh-CN"/>
              </w:rPr>
            </w:pPr>
            <w:r>
              <w:rPr>
                <w:rFonts w:hint="eastAsia"/>
                <w:vertAlign w:val="baseline"/>
                <w:lang w:val="en-US" w:eastAsia="zh-CN"/>
              </w:rPr>
              <w:t>名/天</w:t>
            </w:r>
          </w:p>
        </w:tc>
        <w:tc>
          <w:tcPr>
            <w:tcW w:w="1275" w:type="dxa"/>
            <w:vAlign w:val="center"/>
          </w:tcPr>
          <w:p>
            <w:pPr>
              <w:spacing w:line="240" w:lineRule="auto"/>
              <w:jc w:val="center"/>
              <w:rPr>
                <w:rFonts w:hint="default"/>
                <w:vertAlign w:val="baseline"/>
                <w:lang w:val="en-US" w:eastAsia="zh-CN"/>
              </w:rPr>
            </w:pPr>
          </w:p>
        </w:tc>
        <w:tc>
          <w:tcPr>
            <w:tcW w:w="1275" w:type="dxa"/>
            <w:vAlign w:val="center"/>
          </w:tcPr>
          <w:p>
            <w:pPr>
              <w:spacing w:line="240" w:lineRule="auto"/>
              <w:jc w:val="center"/>
              <w:rPr>
                <w:rFonts w:hint="default"/>
                <w:vertAlign w:val="baseline"/>
                <w:lang w:val="en-US" w:eastAsia="zh-CN"/>
              </w:rPr>
            </w:pPr>
            <w:r>
              <w:rPr>
                <w:rFonts w:hint="eastAsia"/>
                <w:vertAlign w:val="baseline"/>
                <w:lang w:val="en-US" w:eastAsia="zh-CN"/>
              </w:rPr>
              <w:t>10</w:t>
            </w:r>
          </w:p>
        </w:tc>
        <w:tc>
          <w:tcPr>
            <w:tcW w:w="1275" w:type="dxa"/>
            <w:vAlign w:val="center"/>
          </w:tcPr>
          <w:p>
            <w:pPr>
              <w:spacing w:line="240" w:lineRule="auto"/>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pacing w:line="240" w:lineRule="auto"/>
              <w:jc w:val="center"/>
              <w:rPr>
                <w:rFonts w:hint="default"/>
                <w:vertAlign w:val="baseline"/>
                <w:lang w:val="en-US" w:eastAsia="zh-CN"/>
              </w:rPr>
            </w:pPr>
            <w:r>
              <w:rPr>
                <w:rFonts w:hint="eastAsia"/>
                <w:vertAlign w:val="baseline"/>
                <w:lang w:val="en-US" w:eastAsia="zh-CN"/>
              </w:rPr>
              <w:t>11</w:t>
            </w:r>
          </w:p>
        </w:tc>
        <w:tc>
          <w:tcPr>
            <w:tcW w:w="1783" w:type="dxa"/>
            <w:vAlign w:val="center"/>
          </w:tcPr>
          <w:p>
            <w:pPr>
              <w:spacing w:line="240" w:lineRule="auto"/>
              <w:jc w:val="center"/>
              <w:rPr>
                <w:rFonts w:hint="default"/>
                <w:vertAlign w:val="baseline"/>
                <w:lang w:val="en-US" w:eastAsia="zh-CN"/>
              </w:rPr>
            </w:pPr>
            <w:r>
              <w:rPr>
                <w:rFonts w:hint="eastAsia"/>
                <w:vertAlign w:val="baseline"/>
                <w:lang w:val="en-US" w:eastAsia="zh-CN"/>
              </w:rPr>
              <w:t>工作人员</w:t>
            </w:r>
          </w:p>
        </w:tc>
        <w:tc>
          <w:tcPr>
            <w:tcW w:w="1682" w:type="dxa"/>
            <w:vAlign w:val="center"/>
          </w:tcPr>
          <w:p>
            <w:pPr>
              <w:spacing w:line="240" w:lineRule="auto"/>
              <w:jc w:val="center"/>
              <w:rPr>
                <w:rFonts w:hint="default"/>
                <w:vertAlign w:val="baseline"/>
                <w:lang w:val="en-US" w:eastAsia="zh-CN"/>
              </w:rPr>
            </w:pPr>
            <w:r>
              <w:rPr>
                <w:rFonts w:hint="eastAsia"/>
                <w:vertAlign w:val="baseline"/>
                <w:lang w:val="en-US" w:eastAsia="zh-CN"/>
              </w:rPr>
              <w:t>酒店组</w:t>
            </w:r>
          </w:p>
        </w:tc>
        <w:tc>
          <w:tcPr>
            <w:tcW w:w="868" w:type="dxa"/>
            <w:vAlign w:val="center"/>
          </w:tcPr>
          <w:p>
            <w:pPr>
              <w:spacing w:line="240" w:lineRule="auto"/>
              <w:jc w:val="center"/>
              <w:rPr>
                <w:rFonts w:hint="default"/>
                <w:vertAlign w:val="baseline"/>
                <w:lang w:val="en-US" w:eastAsia="zh-CN"/>
              </w:rPr>
            </w:pPr>
            <w:r>
              <w:rPr>
                <w:rFonts w:hint="eastAsia"/>
                <w:vertAlign w:val="baseline"/>
                <w:lang w:val="en-US" w:eastAsia="zh-CN"/>
              </w:rPr>
              <w:t>名/天</w:t>
            </w:r>
          </w:p>
        </w:tc>
        <w:tc>
          <w:tcPr>
            <w:tcW w:w="1275" w:type="dxa"/>
            <w:vAlign w:val="center"/>
          </w:tcPr>
          <w:p>
            <w:pPr>
              <w:spacing w:line="240" w:lineRule="auto"/>
              <w:jc w:val="center"/>
              <w:rPr>
                <w:rFonts w:hint="default"/>
                <w:vertAlign w:val="baseline"/>
                <w:lang w:val="en-US" w:eastAsia="zh-CN"/>
              </w:rPr>
            </w:pPr>
          </w:p>
        </w:tc>
        <w:tc>
          <w:tcPr>
            <w:tcW w:w="1275" w:type="dxa"/>
            <w:vAlign w:val="center"/>
          </w:tcPr>
          <w:p>
            <w:pPr>
              <w:spacing w:line="240" w:lineRule="auto"/>
              <w:jc w:val="center"/>
              <w:rPr>
                <w:rFonts w:hint="default"/>
                <w:vertAlign w:val="baseline"/>
                <w:lang w:val="en-US" w:eastAsia="zh-CN"/>
              </w:rPr>
            </w:pPr>
            <w:r>
              <w:rPr>
                <w:rFonts w:hint="eastAsia"/>
                <w:vertAlign w:val="baseline"/>
                <w:lang w:val="en-US" w:eastAsia="zh-CN"/>
              </w:rPr>
              <w:t>30</w:t>
            </w:r>
          </w:p>
        </w:tc>
        <w:tc>
          <w:tcPr>
            <w:tcW w:w="1275" w:type="dxa"/>
            <w:vAlign w:val="center"/>
          </w:tcPr>
          <w:p>
            <w:pPr>
              <w:spacing w:line="240" w:lineRule="auto"/>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pacing w:line="240" w:lineRule="auto"/>
              <w:jc w:val="center"/>
              <w:rPr>
                <w:rFonts w:hint="default"/>
                <w:vertAlign w:val="baseline"/>
                <w:lang w:val="en-US" w:eastAsia="zh-CN"/>
              </w:rPr>
            </w:pPr>
            <w:r>
              <w:rPr>
                <w:rFonts w:hint="eastAsia"/>
                <w:vertAlign w:val="baseline"/>
                <w:lang w:val="en-US" w:eastAsia="zh-CN"/>
              </w:rPr>
              <w:t>12</w:t>
            </w:r>
          </w:p>
        </w:tc>
        <w:tc>
          <w:tcPr>
            <w:tcW w:w="1783" w:type="dxa"/>
            <w:vAlign w:val="center"/>
          </w:tcPr>
          <w:p>
            <w:pPr>
              <w:spacing w:line="240" w:lineRule="auto"/>
              <w:jc w:val="center"/>
              <w:rPr>
                <w:rFonts w:hint="default"/>
                <w:vertAlign w:val="baseline"/>
                <w:lang w:val="en-US" w:eastAsia="zh-CN"/>
              </w:rPr>
            </w:pPr>
            <w:r>
              <w:rPr>
                <w:rFonts w:hint="eastAsia"/>
                <w:vertAlign w:val="baseline"/>
                <w:lang w:val="en-US" w:eastAsia="zh-CN"/>
              </w:rPr>
              <w:t>工作人员</w:t>
            </w:r>
          </w:p>
        </w:tc>
        <w:tc>
          <w:tcPr>
            <w:tcW w:w="1682" w:type="dxa"/>
            <w:vAlign w:val="center"/>
          </w:tcPr>
          <w:p>
            <w:pPr>
              <w:spacing w:line="240" w:lineRule="auto"/>
              <w:jc w:val="center"/>
              <w:rPr>
                <w:rFonts w:hint="default"/>
                <w:vertAlign w:val="baseline"/>
                <w:lang w:val="en-US" w:eastAsia="zh-CN"/>
              </w:rPr>
            </w:pPr>
            <w:r>
              <w:rPr>
                <w:rFonts w:hint="eastAsia"/>
                <w:vertAlign w:val="baseline"/>
                <w:lang w:val="en-US" w:eastAsia="zh-CN"/>
              </w:rPr>
              <w:t>机动</w:t>
            </w:r>
          </w:p>
        </w:tc>
        <w:tc>
          <w:tcPr>
            <w:tcW w:w="868" w:type="dxa"/>
            <w:vAlign w:val="center"/>
          </w:tcPr>
          <w:p>
            <w:pPr>
              <w:spacing w:line="240" w:lineRule="auto"/>
              <w:jc w:val="center"/>
              <w:rPr>
                <w:rFonts w:hint="default"/>
                <w:vertAlign w:val="baseline"/>
                <w:lang w:val="en-US" w:eastAsia="zh-CN"/>
              </w:rPr>
            </w:pPr>
            <w:r>
              <w:rPr>
                <w:rFonts w:hint="eastAsia"/>
                <w:vertAlign w:val="baseline"/>
                <w:lang w:val="en-US" w:eastAsia="zh-CN"/>
              </w:rPr>
              <w:t>名/天</w:t>
            </w:r>
          </w:p>
        </w:tc>
        <w:tc>
          <w:tcPr>
            <w:tcW w:w="1275" w:type="dxa"/>
            <w:vAlign w:val="center"/>
          </w:tcPr>
          <w:p>
            <w:pPr>
              <w:spacing w:line="240" w:lineRule="auto"/>
              <w:jc w:val="center"/>
              <w:rPr>
                <w:rFonts w:hint="default"/>
                <w:vertAlign w:val="baseline"/>
                <w:lang w:val="en-US" w:eastAsia="zh-CN"/>
              </w:rPr>
            </w:pPr>
          </w:p>
        </w:tc>
        <w:tc>
          <w:tcPr>
            <w:tcW w:w="1275" w:type="dxa"/>
            <w:vAlign w:val="center"/>
          </w:tcPr>
          <w:p>
            <w:pPr>
              <w:spacing w:line="240" w:lineRule="auto"/>
              <w:jc w:val="center"/>
              <w:rPr>
                <w:rFonts w:hint="default"/>
                <w:vertAlign w:val="baseline"/>
                <w:lang w:val="en-US" w:eastAsia="zh-CN"/>
              </w:rPr>
            </w:pPr>
            <w:r>
              <w:rPr>
                <w:rFonts w:hint="eastAsia"/>
                <w:vertAlign w:val="baseline"/>
                <w:lang w:val="en-US" w:eastAsia="zh-CN"/>
              </w:rPr>
              <w:t>10</w:t>
            </w:r>
          </w:p>
        </w:tc>
        <w:tc>
          <w:tcPr>
            <w:tcW w:w="1275" w:type="dxa"/>
            <w:vAlign w:val="center"/>
          </w:tcPr>
          <w:p>
            <w:pPr>
              <w:spacing w:line="240" w:lineRule="auto"/>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pacing w:line="240" w:lineRule="auto"/>
              <w:jc w:val="center"/>
              <w:rPr>
                <w:rFonts w:hint="default"/>
                <w:vertAlign w:val="baseline"/>
                <w:lang w:val="en-US" w:eastAsia="zh-CN"/>
              </w:rPr>
            </w:pPr>
            <w:r>
              <w:rPr>
                <w:rFonts w:hint="eastAsia"/>
                <w:vertAlign w:val="baseline"/>
                <w:lang w:val="en-US" w:eastAsia="zh-CN"/>
              </w:rPr>
              <w:t>13</w:t>
            </w:r>
          </w:p>
        </w:tc>
        <w:tc>
          <w:tcPr>
            <w:tcW w:w="1783" w:type="dxa"/>
            <w:vAlign w:val="center"/>
          </w:tcPr>
          <w:p>
            <w:pPr>
              <w:spacing w:line="240" w:lineRule="auto"/>
              <w:jc w:val="center"/>
              <w:rPr>
                <w:rFonts w:hint="default"/>
                <w:vertAlign w:val="baseline"/>
                <w:lang w:val="en-US" w:eastAsia="zh-CN"/>
              </w:rPr>
            </w:pPr>
            <w:r>
              <w:rPr>
                <w:rFonts w:hint="eastAsia"/>
                <w:vertAlign w:val="baseline"/>
                <w:lang w:val="en-US" w:eastAsia="zh-CN"/>
              </w:rPr>
              <w:t>服务费</w:t>
            </w:r>
          </w:p>
        </w:tc>
        <w:tc>
          <w:tcPr>
            <w:tcW w:w="1682" w:type="dxa"/>
            <w:vAlign w:val="center"/>
          </w:tcPr>
          <w:p>
            <w:pPr>
              <w:spacing w:line="240" w:lineRule="auto"/>
              <w:jc w:val="center"/>
              <w:rPr>
                <w:rFonts w:hint="default"/>
                <w:vertAlign w:val="baseline"/>
                <w:lang w:val="en-US" w:eastAsia="zh-CN"/>
              </w:rPr>
            </w:pPr>
            <w:r>
              <w:rPr>
                <w:rFonts w:hint="eastAsia"/>
                <w:vertAlign w:val="baseline"/>
                <w:lang w:val="en-US" w:eastAsia="zh-CN"/>
              </w:rPr>
              <w:t>代订票、酒店</w:t>
            </w:r>
          </w:p>
        </w:tc>
        <w:tc>
          <w:tcPr>
            <w:tcW w:w="868" w:type="dxa"/>
            <w:vAlign w:val="center"/>
          </w:tcPr>
          <w:p>
            <w:pPr>
              <w:spacing w:line="240" w:lineRule="auto"/>
              <w:jc w:val="center"/>
              <w:rPr>
                <w:rFonts w:hint="default"/>
                <w:vertAlign w:val="baseline"/>
                <w:lang w:val="en-US" w:eastAsia="zh-CN"/>
              </w:rPr>
            </w:pPr>
            <w:r>
              <w:rPr>
                <w:rFonts w:hint="eastAsia"/>
                <w:vertAlign w:val="baseline"/>
                <w:lang w:val="en-US" w:eastAsia="zh-CN"/>
              </w:rPr>
              <w:t>项</w:t>
            </w:r>
          </w:p>
        </w:tc>
        <w:tc>
          <w:tcPr>
            <w:tcW w:w="1275" w:type="dxa"/>
            <w:vAlign w:val="center"/>
          </w:tcPr>
          <w:p>
            <w:pPr>
              <w:spacing w:line="240" w:lineRule="auto"/>
              <w:jc w:val="center"/>
              <w:rPr>
                <w:rFonts w:hint="default"/>
                <w:vertAlign w:val="baseline"/>
                <w:lang w:val="en-US" w:eastAsia="zh-CN"/>
              </w:rPr>
            </w:pPr>
          </w:p>
        </w:tc>
        <w:tc>
          <w:tcPr>
            <w:tcW w:w="1275" w:type="dxa"/>
            <w:vAlign w:val="center"/>
          </w:tcPr>
          <w:p>
            <w:pPr>
              <w:spacing w:line="240" w:lineRule="auto"/>
              <w:jc w:val="center"/>
              <w:rPr>
                <w:rFonts w:hint="default"/>
                <w:vertAlign w:val="baseline"/>
                <w:lang w:val="en-US" w:eastAsia="zh-CN"/>
              </w:rPr>
            </w:pPr>
            <w:r>
              <w:rPr>
                <w:rFonts w:hint="eastAsia"/>
                <w:vertAlign w:val="baseline"/>
                <w:lang w:val="en-US" w:eastAsia="zh-CN"/>
              </w:rPr>
              <w:t>1</w:t>
            </w:r>
          </w:p>
        </w:tc>
        <w:tc>
          <w:tcPr>
            <w:tcW w:w="1275" w:type="dxa"/>
            <w:vAlign w:val="center"/>
          </w:tcPr>
          <w:p>
            <w:pPr>
              <w:spacing w:line="240" w:lineRule="auto"/>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pacing w:line="240" w:lineRule="auto"/>
              <w:jc w:val="center"/>
              <w:rPr>
                <w:rFonts w:hint="default"/>
                <w:vertAlign w:val="baseline"/>
                <w:lang w:val="en-US" w:eastAsia="zh-CN"/>
              </w:rPr>
            </w:pPr>
            <w:r>
              <w:rPr>
                <w:rFonts w:hint="eastAsia"/>
                <w:vertAlign w:val="baseline"/>
                <w:lang w:val="en-US" w:eastAsia="zh-CN"/>
              </w:rPr>
              <w:t>14</w:t>
            </w:r>
          </w:p>
        </w:tc>
        <w:tc>
          <w:tcPr>
            <w:tcW w:w="1783" w:type="dxa"/>
            <w:vAlign w:val="center"/>
          </w:tcPr>
          <w:p>
            <w:pPr>
              <w:spacing w:line="240" w:lineRule="auto"/>
              <w:jc w:val="center"/>
              <w:rPr>
                <w:rFonts w:hint="default"/>
                <w:vertAlign w:val="baseline"/>
                <w:lang w:val="en-US" w:eastAsia="zh-CN"/>
              </w:rPr>
            </w:pPr>
            <w:r>
              <w:rPr>
                <w:rFonts w:hint="eastAsia"/>
                <w:vertAlign w:val="baseline"/>
                <w:lang w:val="en-US" w:eastAsia="zh-CN"/>
              </w:rPr>
              <w:t>服务费</w:t>
            </w:r>
          </w:p>
        </w:tc>
        <w:tc>
          <w:tcPr>
            <w:tcW w:w="1682" w:type="dxa"/>
            <w:vAlign w:val="center"/>
          </w:tcPr>
          <w:p>
            <w:pPr>
              <w:spacing w:line="240" w:lineRule="auto"/>
              <w:jc w:val="center"/>
              <w:rPr>
                <w:rFonts w:hint="default"/>
                <w:vertAlign w:val="baseline"/>
                <w:lang w:val="en-US" w:eastAsia="zh-CN"/>
              </w:rPr>
            </w:pPr>
            <w:r>
              <w:rPr>
                <w:rFonts w:hint="eastAsia"/>
                <w:vertAlign w:val="baseline"/>
                <w:lang w:val="en-US" w:eastAsia="zh-CN"/>
              </w:rPr>
              <w:t>晚宴设计、流程</w:t>
            </w:r>
          </w:p>
        </w:tc>
        <w:tc>
          <w:tcPr>
            <w:tcW w:w="868" w:type="dxa"/>
            <w:vAlign w:val="center"/>
          </w:tcPr>
          <w:p>
            <w:pPr>
              <w:spacing w:line="240" w:lineRule="auto"/>
              <w:jc w:val="center"/>
              <w:rPr>
                <w:rFonts w:hint="default"/>
                <w:vertAlign w:val="baseline"/>
                <w:lang w:val="en-US" w:eastAsia="zh-CN"/>
              </w:rPr>
            </w:pPr>
            <w:r>
              <w:rPr>
                <w:rFonts w:hint="eastAsia"/>
                <w:vertAlign w:val="baseline"/>
                <w:lang w:val="en-US" w:eastAsia="zh-CN"/>
              </w:rPr>
              <w:t>项</w:t>
            </w:r>
          </w:p>
        </w:tc>
        <w:tc>
          <w:tcPr>
            <w:tcW w:w="1275" w:type="dxa"/>
            <w:vAlign w:val="center"/>
          </w:tcPr>
          <w:p>
            <w:pPr>
              <w:spacing w:line="240" w:lineRule="auto"/>
              <w:jc w:val="center"/>
              <w:rPr>
                <w:rFonts w:hint="default"/>
                <w:vertAlign w:val="baseline"/>
                <w:lang w:val="en-US" w:eastAsia="zh-CN"/>
              </w:rPr>
            </w:pPr>
          </w:p>
        </w:tc>
        <w:tc>
          <w:tcPr>
            <w:tcW w:w="1275" w:type="dxa"/>
            <w:vAlign w:val="center"/>
          </w:tcPr>
          <w:p>
            <w:pPr>
              <w:spacing w:line="240" w:lineRule="auto"/>
              <w:jc w:val="center"/>
              <w:rPr>
                <w:rFonts w:hint="default"/>
                <w:vertAlign w:val="baseline"/>
                <w:lang w:val="en-US" w:eastAsia="zh-CN"/>
              </w:rPr>
            </w:pPr>
            <w:r>
              <w:rPr>
                <w:rFonts w:hint="eastAsia"/>
                <w:vertAlign w:val="baseline"/>
                <w:lang w:val="en-US" w:eastAsia="zh-CN"/>
              </w:rPr>
              <w:t>1</w:t>
            </w:r>
          </w:p>
        </w:tc>
        <w:tc>
          <w:tcPr>
            <w:tcW w:w="1275" w:type="dxa"/>
            <w:vAlign w:val="center"/>
          </w:tcPr>
          <w:p>
            <w:pPr>
              <w:spacing w:line="240" w:lineRule="auto"/>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pacing w:line="240" w:lineRule="auto"/>
              <w:jc w:val="center"/>
              <w:rPr>
                <w:rFonts w:hint="eastAsia"/>
                <w:vertAlign w:val="baseline"/>
                <w:lang w:val="en-US" w:eastAsia="zh-CN"/>
              </w:rPr>
            </w:pPr>
          </w:p>
        </w:tc>
        <w:tc>
          <w:tcPr>
            <w:tcW w:w="1783" w:type="dxa"/>
            <w:vAlign w:val="center"/>
          </w:tcPr>
          <w:p>
            <w:pPr>
              <w:spacing w:line="240" w:lineRule="auto"/>
              <w:jc w:val="center"/>
              <w:rPr>
                <w:rFonts w:hint="default"/>
                <w:vertAlign w:val="baseline"/>
                <w:lang w:val="en-US" w:eastAsia="zh-CN"/>
              </w:rPr>
            </w:pPr>
          </w:p>
        </w:tc>
        <w:tc>
          <w:tcPr>
            <w:tcW w:w="1682" w:type="dxa"/>
            <w:vAlign w:val="center"/>
          </w:tcPr>
          <w:p>
            <w:pPr>
              <w:spacing w:line="240" w:lineRule="auto"/>
              <w:jc w:val="center"/>
              <w:rPr>
                <w:rFonts w:hint="default"/>
                <w:vertAlign w:val="baseline"/>
                <w:lang w:val="en-US" w:eastAsia="zh-CN"/>
              </w:rPr>
            </w:pPr>
          </w:p>
        </w:tc>
        <w:tc>
          <w:tcPr>
            <w:tcW w:w="868" w:type="dxa"/>
            <w:vAlign w:val="center"/>
          </w:tcPr>
          <w:p>
            <w:pPr>
              <w:spacing w:line="240" w:lineRule="auto"/>
              <w:jc w:val="center"/>
              <w:rPr>
                <w:rFonts w:hint="default"/>
                <w:vertAlign w:val="baseline"/>
                <w:lang w:val="en-US" w:eastAsia="zh-CN"/>
              </w:rPr>
            </w:pPr>
          </w:p>
        </w:tc>
        <w:tc>
          <w:tcPr>
            <w:tcW w:w="1275" w:type="dxa"/>
            <w:vAlign w:val="center"/>
          </w:tcPr>
          <w:p>
            <w:pPr>
              <w:spacing w:line="240" w:lineRule="auto"/>
              <w:jc w:val="center"/>
              <w:rPr>
                <w:rFonts w:hint="default"/>
                <w:vertAlign w:val="baseline"/>
                <w:lang w:val="en-US" w:eastAsia="zh-CN"/>
              </w:rPr>
            </w:pPr>
          </w:p>
        </w:tc>
        <w:tc>
          <w:tcPr>
            <w:tcW w:w="1275" w:type="dxa"/>
            <w:vAlign w:val="center"/>
          </w:tcPr>
          <w:p>
            <w:pPr>
              <w:spacing w:line="240" w:lineRule="auto"/>
              <w:jc w:val="center"/>
              <w:rPr>
                <w:rFonts w:hint="default"/>
                <w:vertAlign w:val="baseline"/>
                <w:lang w:val="en-US" w:eastAsia="zh-CN"/>
              </w:rPr>
            </w:pPr>
            <w:r>
              <w:rPr>
                <w:rFonts w:hint="eastAsia"/>
                <w:vertAlign w:val="baseline"/>
                <w:lang w:val="en-US" w:eastAsia="zh-CN"/>
              </w:rPr>
              <w:t>合计</w:t>
            </w:r>
          </w:p>
        </w:tc>
        <w:tc>
          <w:tcPr>
            <w:tcW w:w="1275" w:type="dxa"/>
            <w:vAlign w:val="center"/>
          </w:tcPr>
          <w:p>
            <w:pPr>
              <w:spacing w:line="240" w:lineRule="auto"/>
              <w:jc w:val="center"/>
              <w:rPr>
                <w:rFonts w:hint="default"/>
                <w:vertAlign w:val="baseline"/>
                <w:lang w:val="en-US" w:eastAsia="zh-CN"/>
              </w:rPr>
            </w:pPr>
          </w:p>
        </w:tc>
      </w:tr>
    </w:tbl>
    <w:p>
      <w:pPr>
        <w:jc w:val="center"/>
        <w:rPr>
          <w:rFonts w:hint="default"/>
          <w:lang w:val="en-US" w:eastAsia="zh-CN"/>
        </w:rPr>
      </w:pPr>
    </w:p>
    <w:p>
      <w:pPr>
        <w:pStyle w:val="2"/>
        <w:rPr>
          <w:rFonts w:hint="default" w:cs="Times New Roman"/>
          <w:b/>
          <w:bCs/>
          <w:kern w:val="0"/>
          <w:sz w:val="22"/>
          <w:szCs w:val="22"/>
          <w:lang w:val="en-US" w:eastAsia="zh-CN" w:bidi="en-US"/>
        </w:rPr>
      </w:pPr>
      <w:r>
        <w:rPr>
          <w:rFonts w:hint="eastAsia" w:cs="Times New Roman"/>
          <w:b/>
          <w:bCs/>
          <w:kern w:val="0"/>
          <w:sz w:val="22"/>
          <w:szCs w:val="22"/>
          <w:lang w:val="en-US" w:eastAsia="zh-CN" w:bidi="en-US"/>
        </w:rPr>
        <w:t>注：该部分最高限价为10万元，仅报工作人员、接送车辆、相关服务费等。</w:t>
      </w:r>
    </w:p>
    <w:p>
      <w:pPr>
        <w:pStyle w:val="2"/>
        <w:rPr>
          <w:rFonts w:hint="eastAsia" w:cs="Times New Roman"/>
          <w:kern w:val="0"/>
          <w:sz w:val="21"/>
          <w:szCs w:val="21"/>
          <w:lang w:val="en-US" w:eastAsia="zh-CN" w:bidi="en-US"/>
        </w:rPr>
      </w:pPr>
      <w:r>
        <w:rPr>
          <w:rFonts w:hint="eastAsia" w:cs="Times New Roman"/>
          <w:kern w:val="0"/>
          <w:sz w:val="21"/>
          <w:szCs w:val="21"/>
          <w:lang w:val="en-US" w:eastAsia="zh-CN" w:bidi="en-US"/>
        </w:rPr>
        <w:t xml:space="preserve"> </w:t>
      </w:r>
    </w:p>
    <w:p>
      <w:pPr>
        <w:rPr>
          <w:rFonts w:hint="eastAsia" w:cs="Times New Roman"/>
          <w:b/>
          <w:bCs/>
          <w:kern w:val="0"/>
          <w:sz w:val="24"/>
          <w:szCs w:val="24"/>
          <w:lang w:val="en-US" w:eastAsia="zh-CN" w:bidi="en-US"/>
        </w:rPr>
      </w:pPr>
      <w:r>
        <w:rPr>
          <w:rFonts w:hint="eastAsia" w:cs="Times New Roman"/>
          <w:b/>
          <w:bCs/>
          <w:kern w:val="0"/>
          <w:sz w:val="24"/>
          <w:szCs w:val="24"/>
          <w:lang w:val="en-US" w:eastAsia="zh-CN" w:bidi="en-US"/>
        </w:rPr>
        <w:t>（六）关于报价的说明</w:t>
      </w:r>
    </w:p>
    <w:p>
      <w:pPr>
        <w:numPr>
          <w:ilvl w:val="0"/>
          <w:numId w:val="0"/>
        </w:numPr>
        <w:ind w:leftChars="0"/>
        <w:rPr>
          <w:rFonts w:hint="eastAsia" w:cs="Times New Roman"/>
          <w:kern w:val="0"/>
          <w:sz w:val="21"/>
          <w:szCs w:val="21"/>
          <w:lang w:val="en-US" w:eastAsia="zh-CN" w:bidi="en-US"/>
        </w:rPr>
      </w:pPr>
      <w:r>
        <w:rPr>
          <w:rFonts w:hint="eastAsia" w:cs="Times New Roman"/>
          <w:kern w:val="0"/>
          <w:sz w:val="21"/>
          <w:szCs w:val="21"/>
          <w:lang w:val="en-US" w:eastAsia="zh-CN" w:bidi="en-US"/>
        </w:rPr>
        <w:t>1.招标文件中所列示的与报价相关的数量均为招标方根据跨境电商展规划进行预估，投标方应充分理解展览行业中实际执行数量可能与当前规划数量存在偏差的情况，最终结算金额将根据实际执行数量与明细单价计算。</w:t>
      </w:r>
    </w:p>
    <w:p>
      <w:pPr>
        <w:pStyle w:val="2"/>
        <w:rPr>
          <w:rFonts w:hint="default"/>
          <w:lang w:val="en-US" w:eastAsia="zh-CN"/>
        </w:rPr>
      </w:pPr>
    </w:p>
    <w:p>
      <w:pPr>
        <w:rPr>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keepNext/>
        <w:keepLines/>
        <w:numPr>
          <w:ilvl w:val="255"/>
          <w:numId w:val="0"/>
        </w:numPr>
        <w:tabs>
          <w:tab w:val="left" w:pos="2160"/>
        </w:tabs>
        <w:spacing w:before="340" w:after="330" w:line="360" w:lineRule="auto"/>
        <w:jc w:val="both"/>
        <w:outlineLvl w:val="0"/>
        <w:rPr>
          <w:rFonts w:ascii="宋体" w:hAnsi="宋体"/>
          <w:b/>
          <w:bCs/>
          <w:kern w:val="44"/>
          <w:sz w:val="44"/>
          <w:szCs w:val="36"/>
          <w:lang w:eastAsia="zh-CN" w:bidi="ar-SA"/>
        </w:rPr>
      </w:pPr>
      <w:bookmarkStart w:id="174" w:name="_Toc465350706"/>
      <w:bookmarkStart w:id="175" w:name="_Toc411245420"/>
    </w:p>
    <w:p>
      <w:pPr>
        <w:keepNext/>
        <w:keepLines/>
        <w:numPr>
          <w:ilvl w:val="255"/>
          <w:numId w:val="0"/>
        </w:numPr>
        <w:tabs>
          <w:tab w:val="left" w:pos="2160"/>
        </w:tabs>
        <w:spacing w:before="340" w:after="330" w:line="360" w:lineRule="auto"/>
        <w:jc w:val="center"/>
        <w:outlineLvl w:val="0"/>
        <w:rPr>
          <w:rFonts w:asciiTheme="minorEastAsia" w:hAnsiTheme="minorEastAsia" w:eastAsiaTheme="minorEastAsia"/>
          <w:b/>
          <w:bCs/>
          <w:kern w:val="44"/>
          <w:lang w:eastAsia="zh-CN"/>
        </w:rPr>
      </w:pPr>
      <w:bookmarkStart w:id="176" w:name="_Toc7995"/>
      <w:r>
        <w:rPr>
          <w:rFonts w:hint="eastAsia" w:ascii="宋体" w:hAnsi="宋体"/>
          <w:b/>
          <w:bCs/>
          <w:kern w:val="44"/>
          <w:sz w:val="44"/>
          <w:szCs w:val="36"/>
          <w:lang w:eastAsia="zh-CN" w:bidi="ar-SA"/>
        </w:rPr>
        <w:t>第七章 附件（投标文件格式）</w:t>
      </w:r>
      <w:bookmarkEnd w:id="174"/>
      <w:bookmarkEnd w:id="176"/>
    </w:p>
    <w:bookmarkEnd w:id="175"/>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cs="Arial" w:asciiTheme="minorEastAsia" w:hAnsiTheme="minorEastAsia" w:eastAsiaTheme="minorEastAsia"/>
          <w:b/>
          <w:bCs/>
          <w:w w:val="90"/>
          <w:lang w:eastAsia="zh-CN"/>
        </w:rPr>
      </w:pPr>
      <w:bookmarkStart w:id="177" w:name="_Toc47261683"/>
      <w:bookmarkStart w:id="178" w:name="_Toc411245421"/>
      <w:bookmarkStart w:id="179" w:name="_Toc48791228"/>
      <w:bookmarkStart w:id="180" w:name="_Toc47418724"/>
      <w:bookmarkStart w:id="181" w:name="_Toc99466914"/>
      <w:bookmarkStart w:id="182" w:name="_Toc47418931"/>
      <w:bookmarkStart w:id="183" w:name="_Toc47418248"/>
      <w:bookmarkStart w:id="184" w:name="_Toc236555304"/>
      <w:bookmarkStart w:id="185" w:name="_Toc47262062"/>
      <w:bookmarkStart w:id="186" w:name="_Toc47261878"/>
      <w:bookmarkStart w:id="187" w:name="_Toc49019229"/>
      <w:bookmarkStart w:id="188" w:name="_Toc48995844"/>
      <w:bookmarkStart w:id="189" w:name="_Toc324152527"/>
      <w:r>
        <w:rPr>
          <w:rFonts w:cs="Arial" w:asciiTheme="minorEastAsia" w:hAnsiTheme="minorEastAsia" w:eastAsiaTheme="minorEastAsia"/>
          <w:b/>
          <w:bCs/>
          <w:w w:val="90"/>
          <w:lang w:eastAsia="zh-CN"/>
        </w:rPr>
        <w:br w:type="page"/>
      </w:r>
    </w:p>
    <w:p>
      <w:pPr>
        <w:rPr>
          <w:rFonts w:cs="Arial" w:asciiTheme="minorEastAsia" w:hAnsiTheme="minorEastAsia" w:eastAsiaTheme="minorEastAsia"/>
          <w:b/>
          <w:bCs/>
          <w:w w:val="90"/>
          <w:lang w:eastAsia="zh-CN"/>
        </w:rPr>
      </w:pPr>
      <w:r>
        <w:rPr>
          <w:rFonts w:cs="Arial" w:asciiTheme="minorEastAsia" w:hAnsiTheme="minorEastAsia" w:eastAsiaTheme="minorEastAsia"/>
          <w:b/>
          <w:bCs/>
          <w:w w:val="90"/>
          <w:lang w:eastAsia="zh-CN"/>
        </w:rPr>
        <w:t>1</w:t>
      </w:r>
      <w:r>
        <w:rPr>
          <w:rFonts w:hint="eastAsia" w:cs="Arial" w:asciiTheme="minorEastAsia" w:hAnsiTheme="minorEastAsia" w:eastAsiaTheme="minorEastAsia"/>
          <w:b/>
          <w:bCs/>
          <w:w w:val="90"/>
          <w:lang w:eastAsia="zh-CN"/>
        </w:rPr>
        <w:t>、投标书格式</w:t>
      </w:r>
      <w:bookmarkEnd w:id="177"/>
      <w:bookmarkEnd w:id="178"/>
      <w:bookmarkEnd w:id="179"/>
      <w:bookmarkEnd w:id="180"/>
      <w:bookmarkEnd w:id="181"/>
      <w:bookmarkEnd w:id="182"/>
      <w:bookmarkEnd w:id="183"/>
      <w:bookmarkEnd w:id="184"/>
      <w:bookmarkEnd w:id="185"/>
      <w:bookmarkEnd w:id="186"/>
      <w:bookmarkEnd w:id="187"/>
      <w:bookmarkEnd w:id="188"/>
      <w:bookmarkEnd w:id="189"/>
    </w:p>
    <w:p>
      <w:pPr>
        <w:keepNext/>
        <w:keepLines/>
        <w:snapToGrid w:val="0"/>
        <w:spacing w:before="160" w:after="160"/>
        <w:jc w:val="center"/>
        <w:outlineLvl w:val="1"/>
        <w:rPr>
          <w:rFonts w:asciiTheme="minorEastAsia" w:hAnsiTheme="minorEastAsia" w:eastAsiaTheme="minorEastAsia"/>
          <w:b/>
          <w:bCs/>
          <w:lang w:eastAsia="zh-CN"/>
        </w:rPr>
      </w:pPr>
      <w:bookmarkStart w:id="190" w:name="_Toc29228"/>
      <w:bookmarkStart w:id="191" w:name="_Toc15932"/>
      <w:bookmarkStart w:id="192" w:name="_Toc465350707"/>
      <w:r>
        <w:rPr>
          <w:rFonts w:hint="eastAsia" w:asciiTheme="minorEastAsia" w:hAnsiTheme="minorEastAsia" w:eastAsiaTheme="minorEastAsia"/>
          <w:b/>
          <w:bCs/>
          <w:lang w:eastAsia="zh-CN"/>
        </w:rPr>
        <w:t>投标函</w:t>
      </w:r>
      <w:bookmarkEnd w:id="190"/>
      <w:bookmarkEnd w:id="191"/>
      <w:bookmarkEnd w:id="192"/>
    </w:p>
    <w:p>
      <w:pPr>
        <w:spacing w:line="360" w:lineRule="auto"/>
        <w:ind w:right="-233" w:rightChars="-106"/>
        <w:rPr>
          <w:rFonts w:asciiTheme="minorEastAsia" w:hAnsiTheme="minorEastAsia" w:eastAsiaTheme="minorEastAsia"/>
          <w:u w:val="single"/>
          <w:lang w:eastAsia="zh-CN"/>
        </w:rPr>
      </w:pPr>
      <w:r>
        <w:rPr>
          <w:rFonts w:hint="eastAsia" w:asciiTheme="minorEastAsia" w:hAnsiTheme="minorEastAsia" w:eastAsiaTheme="minorEastAsia"/>
          <w:u w:val="single"/>
          <w:lang w:eastAsia="zh-CN"/>
        </w:rPr>
        <w:t>致：</w:t>
      </w:r>
    </w:p>
    <w:p>
      <w:pPr>
        <w:spacing w:line="360" w:lineRule="auto"/>
        <w:ind w:right="-233" w:rightChars="-106" w:firstLine="435"/>
        <w:rPr>
          <w:rFonts w:asciiTheme="minorEastAsia" w:hAnsiTheme="minorEastAsia" w:eastAsiaTheme="minorEastAsia"/>
          <w:lang w:eastAsia="zh-CN"/>
        </w:rPr>
      </w:pPr>
      <w:r>
        <w:rPr>
          <w:rFonts w:hint="eastAsia" w:asciiTheme="minorEastAsia" w:hAnsiTheme="minorEastAsia" w:eastAsiaTheme="minorEastAsia"/>
          <w:lang w:eastAsia="zh-CN"/>
        </w:rPr>
        <w:t>根据贵方为</w:t>
      </w:r>
      <w:r>
        <w:rPr>
          <w:rFonts w:hint="eastAsia" w:asciiTheme="minorEastAsia" w:hAnsiTheme="minorEastAsia" w:eastAsiaTheme="minorEastAsia"/>
          <w:u w:val="single"/>
          <w:lang w:eastAsia="zh-CN"/>
        </w:rPr>
        <w:t>（      ）</w:t>
      </w:r>
      <w:r>
        <w:rPr>
          <w:rFonts w:hint="eastAsia" w:asciiTheme="minorEastAsia" w:hAnsiTheme="minorEastAsia" w:eastAsiaTheme="minorEastAsia"/>
          <w:lang w:eastAsia="zh-CN"/>
        </w:rPr>
        <w:t>招标采购投标邀请</w:t>
      </w:r>
      <w:r>
        <w:rPr>
          <w:rFonts w:hint="eastAsia" w:asciiTheme="minorEastAsia" w:hAnsiTheme="minorEastAsia" w:eastAsiaTheme="minorEastAsia"/>
          <w:u w:val="single"/>
          <w:lang w:eastAsia="zh-CN"/>
        </w:rPr>
        <w:t>（招标编号）</w:t>
      </w:r>
      <w:r>
        <w:rPr>
          <w:rFonts w:hint="eastAsia" w:asciiTheme="minorEastAsia" w:hAnsiTheme="minorEastAsia" w:eastAsiaTheme="minorEastAsia"/>
          <w:lang w:eastAsia="zh-CN"/>
        </w:rPr>
        <w:t>，签字代表</w:t>
      </w:r>
      <w:r>
        <w:rPr>
          <w:rFonts w:hint="eastAsia" w:asciiTheme="minorEastAsia" w:hAnsiTheme="minorEastAsia" w:eastAsiaTheme="minorEastAsia"/>
          <w:u w:val="single"/>
          <w:lang w:eastAsia="zh-CN"/>
        </w:rPr>
        <w:t>（姓名、职务）</w:t>
      </w:r>
      <w:r>
        <w:rPr>
          <w:rFonts w:hint="eastAsia" w:asciiTheme="minorEastAsia" w:hAnsiTheme="minorEastAsia" w:eastAsiaTheme="minorEastAsia"/>
          <w:lang w:eastAsia="zh-CN"/>
        </w:rPr>
        <w:t>经正式授权并代表投标人</w:t>
      </w:r>
      <w:r>
        <w:rPr>
          <w:rFonts w:hint="eastAsia" w:asciiTheme="minorEastAsia" w:hAnsiTheme="minorEastAsia" w:eastAsiaTheme="minorEastAsia"/>
          <w:u w:val="single"/>
          <w:lang w:eastAsia="zh-CN"/>
        </w:rPr>
        <w:t>（投标人名称、地址）</w:t>
      </w:r>
      <w:r>
        <w:rPr>
          <w:rFonts w:hint="eastAsia" w:asciiTheme="minorEastAsia" w:hAnsiTheme="minorEastAsia" w:eastAsiaTheme="minorEastAsia"/>
          <w:lang w:eastAsia="zh-CN"/>
        </w:rPr>
        <w:t>提交下述文件正本一份、副本</w:t>
      </w:r>
      <w:r>
        <w:rPr>
          <w:rFonts w:hint="eastAsia" w:asciiTheme="minorEastAsia" w:hAnsiTheme="minorEastAsia" w:eastAsiaTheme="minorEastAsia"/>
          <w:lang w:val="en-US" w:eastAsia="zh-CN"/>
        </w:rPr>
        <w:t>二</w:t>
      </w:r>
      <w:r>
        <w:rPr>
          <w:rFonts w:hint="eastAsia" w:asciiTheme="minorEastAsia" w:hAnsiTheme="minorEastAsia" w:eastAsiaTheme="minorEastAsia"/>
          <w:lang w:eastAsia="zh-CN"/>
        </w:rPr>
        <w:t>份。</w:t>
      </w:r>
    </w:p>
    <w:p>
      <w:pPr>
        <w:spacing w:line="360" w:lineRule="auto"/>
        <w:ind w:left="840" w:right="-233" w:rightChars="-106"/>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 xml:space="preserve"> 投标一览表（分项报价表）</w:t>
      </w:r>
    </w:p>
    <w:p>
      <w:pPr>
        <w:spacing w:line="360" w:lineRule="auto"/>
        <w:ind w:left="840" w:right="-233" w:rightChars="-106"/>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asciiTheme="minorEastAsia" w:hAnsiTheme="minorEastAsia" w:eastAsiaTheme="minorEastAsia"/>
          <w:lang w:eastAsia="zh-CN"/>
        </w:rPr>
        <w:t>.</w:t>
      </w:r>
      <w:r>
        <w:rPr>
          <w:rFonts w:hint="eastAsia" w:asciiTheme="minorEastAsia" w:hAnsiTheme="minorEastAsia" w:eastAsiaTheme="minorEastAsia"/>
          <w:lang w:eastAsia="zh-CN"/>
        </w:rPr>
        <w:t xml:space="preserve"> 按招标文件要求提供的有关文件</w:t>
      </w:r>
    </w:p>
    <w:p>
      <w:pPr>
        <w:spacing w:line="360" w:lineRule="auto"/>
        <w:ind w:left="840" w:right="-233" w:rightChars="-106"/>
        <w:rPr>
          <w:rFonts w:hint="default" w:asciiTheme="minorEastAsia" w:hAnsiTheme="minorEastAsia" w:eastAsiaTheme="minorEastAsia"/>
          <w:lang w:val="en-US" w:eastAsia="zh-CN"/>
        </w:rPr>
      </w:pPr>
      <w:r>
        <w:rPr>
          <w:rFonts w:hint="eastAsia" w:asciiTheme="minorEastAsia" w:hAnsiTheme="minorEastAsia" w:eastAsiaTheme="minorEastAsia"/>
          <w:lang w:eastAsia="zh-CN"/>
        </w:rPr>
        <w:t>3. 法定代表授权</w:t>
      </w:r>
    </w:p>
    <w:p>
      <w:pPr>
        <w:spacing w:line="360" w:lineRule="auto"/>
        <w:ind w:left="840" w:right="-233" w:rightChars="-106"/>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w:t>
      </w:r>
      <w:r>
        <w:rPr>
          <w:rFonts w:hint="eastAsia" w:asciiTheme="minorEastAsia" w:hAnsiTheme="minorEastAsia" w:eastAsiaTheme="minorEastAsia"/>
          <w:lang w:eastAsia="zh-CN"/>
        </w:rPr>
        <w:t xml:space="preserve"> 资格证明文件</w:t>
      </w:r>
    </w:p>
    <w:p>
      <w:pPr>
        <w:spacing w:line="360" w:lineRule="auto"/>
        <w:ind w:left="840" w:right="-233" w:rightChars="-106"/>
        <w:rPr>
          <w:rFonts w:asciiTheme="minorEastAsia" w:hAnsiTheme="minorEastAsia" w:eastAsiaTheme="minorEastAsia"/>
          <w:lang w:eastAsia="zh-CN"/>
        </w:rPr>
      </w:pPr>
      <w:r>
        <w:rPr>
          <w:rFonts w:hint="eastAsia" w:asciiTheme="minorEastAsia" w:hAnsiTheme="minorEastAsia" w:eastAsiaTheme="minorEastAsia"/>
          <w:lang w:eastAsia="zh-CN"/>
        </w:rPr>
        <w:t>5. 投标人基本情况信息表</w:t>
      </w:r>
    </w:p>
    <w:p>
      <w:pPr>
        <w:spacing w:line="360" w:lineRule="auto"/>
        <w:ind w:left="840" w:right="-233" w:rightChars="-106"/>
        <w:rPr>
          <w:rFonts w:asciiTheme="minorEastAsia" w:hAnsiTheme="minorEastAsia" w:eastAsiaTheme="minorEastAsia"/>
          <w:lang w:eastAsia="zh-CN"/>
        </w:rPr>
      </w:pPr>
      <w:r>
        <w:rPr>
          <w:rFonts w:hint="eastAsia" w:asciiTheme="minorEastAsia" w:hAnsiTheme="minorEastAsia" w:eastAsiaTheme="minorEastAsia"/>
          <w:lang w:eastAsia="zh-CN"/>
        </w:rPr>
        <w:t>6. 业绩证明文件</w:t>
      </w:r>
    </w:p>
    <w:p>
      <w:pPr>
        <w:spacing w:line="360" w:lineRule="auto"/>
        <w:ind w:left="840" w:right="-233" w:rightChars="-106"/>
        <w:rPr>
          <w:rFonts w:asciiTheme="minorEastAsia" w:hAnsiTheme="minorEastAsia" w:eastAsiaTheme="minorEastAsia"/>
          <w:lang w:eastAsia="zh-CN"/>
        </w:rPr>
      </w:pPr>
      <w:r>
        <w:rPr>
          <w:rFonts w:hint="eastAsia" w:asciiTheme="minorEastAsia" w:hAnsiTheme="minorEastAsia" w:eastAsiaTheme="minorEastAsia"/>
          <w:lang w:eastAsia="zh-CN"/>
        </w:rPr>
        <w:t>7. 售后服务承诺书</w:t>
      </w:r>
    </w:p>
    <w:p>
      <w:pPr>
        <w:spacing w:line="360" w:lineRule="auto"/>
        <w:ind w:right="-233" w:rightChars="-106" w:firstLine="770" w:firstLineChars="350"/>
        <w:rPr>
          <w:rFonts w:asciiTheme="minorEastAsia" w:hAnsiTheme="minorEastAsia" w:eastAsiaTheme="minorEastAsia"/>
          <w:lang w:eastAsia="zh-CN"/>
        </w:rPr>
      </w:pPr>
      <w:r>
        <w:rPr>
          <w:rFonts w:hint="eastAsia" w:asciiTheme="minorEastAsia" w:hAnsiTheme="minorEastAsia" w:eastAsiaTheme="minorEastAsia"/>
          <w:lang w:eastAsia="zh-CN"/>
        </w:rPr>
        <w:t>在此，签字代表宣布同意如下：</w:t>
      </w:r>
    </w:p>
    <w:p>
      <w:pPr>
        <w:spacing w:line="360" w:lineRule="auto"/>
        <w:ind w:left="420" w:right="-233" w:rightChars="-106"/>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所附投标价格表中规定的应提交和交付的服务投标总价为，</w:t>
      </w:r>
      <w:r>
        <w:rPr>
          <w:rFonts w:hint="eastAsia" w:asciiTheme="minorEastAsia" w:hAnsiTheme="minorEastAsia" w:eastAsiaTheme="minorEastAsia"/>
          <w:u w:val="single"/>
          <w:lang w:eastAsia="zh-CN"/>
        </w:rPr>
        <w:t>人民币金额数，（并同时用文字和数字表示的投标总价）</w:t>
      </w:r>
      <w:r>
        <w:rPr>
          <w:rFonts w:hint="eastAsia" w:asciiTheme="minorEastAsia" w:hAnsiTheme="minorEastAsia" w:eastAsiaTheme="minorEastAsia"/>
          <w:lang w:eastAsia="zh-CN"/>
        </w:rPr>
        <w:t>。</w:t>
      </w:r>
    </w:p>
    <w:p>
      <w:pPr>
        <w:spacing w:line="360" w:lineRule="auto"/>
        <w:ind w:left="420" w:right="-233" w:rightChars="-106"/>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投标人将按招标文件的规定履行合同责任和义务。</w:t>
      </w:r>
    </w:p>
    <w:p>
      <w:pPr>
        <w:spacing w:line="360" w:lineRule="auto"/>
        <w:ind w:left="420" w:right="-233" w:rightChars="-106"/>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投标人已详细审查全部招标文件。我们完全理解并同意放弃对这方面有不明及误解的权力。</w:t>
      </w:r>
    </w:p>
    <w:p>
      <w:pPr>
        <w:spacing w:line="360" w:lineRule="auto"/>
        <w:ind w:left="420" w:right="-233" w:rightChars="-106"/>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本投标有效期为自开标日起</w:t>
      </w:r>
      <w:r>
        <w:rPr>
          <w:rFonts w:asciiTheme="minorEastAsia" w:hAnsiTheme="minorEastAsia" w:eastAsiaTheme="minorEastAsia"/>
          <w:u w:val="single"/>
          <w:lang w:eastAsia="zh-CN"/>
        </w:rPr>
        <w:t xml:space="preserve"> </w:t>
      </w:r>
      <w:r>
        <w:rPr>
          <w:rFonts w:hint="eastAsia" w:asciiTheme="minorEastAsia" w:hAnsiTheme="minorEastAsia" w:eastAsiaTheme="minorEastAsia"/>
          <w:u w:val="single"/>
          <w:lang w:val="en-US" w:eastAsia="zh-CN"/>
        </w:rPr>
        <w:t>90</w:t>
      </w:r>
      <w:r>
        <w:rPr>
          <w:rFonts w:asciiTheme="minorEastAsia" w:hAnsiTheme="minorEastAsia" w:eastAsiaTheme="minorEastAsia"/>
          <w:u w:val="single"/>
          <w:lang w:eastAsia="zh-CN"/>
        </w:rPr>
        <w:t xml:space="preserve"> </w:t>
      </w:r>
      <w:r>
        <w:rPr>
          <w:rFonts w:hint="eastAsia" w:asciiTheme="minorEastAsia" w:hAnsiTheme="minorEastAsia" w:eastAsiaTheme="minorEastAsia"/>
          <w:lang w:eastAsia="zh-CN"/>
        </w:rPr>
        <w:t>个日历日。</w:t>
      </w:r>
    </w:p>
    <w:p>
      <w:pPr>
        <w:spacing w:line="360" w:lineRule="auto"/>
        <w:ind w:left="420" w:right="-233" w:rightChars="-106"/>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如果在规定的开标时间后，投标人在投标有效期内撤回投标，其投标保证金将被贵方没收。</w:t>
      </w:r>
    </w:p>
    <w:p>
      <w:pPr>
        <w:spacing w:line="360" w:lineRule="auto"/>
        <w:ind w:left="420" w:right="-233" w:rightChars="-106"/>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根据投标人须知规定，我方承诺，与买方聘请的为此项目提供咨询服务的公司及任何附属机构均无关联，我方不是买方的附属机构。</w:t>
      </w:r>
    </w:p>
    <w:p>
      <w:pPr>
        <w:spacing w:line="360" w:lineRule="auto"/>
        <w:ind w:left="420" w:right="-233" w:rightChars="-106"/>
        <w:rPr>
          <w:rFonts w:asciiTheme="minorEastAsia" w:hAnsiTheme="minorEastAsia" w:eastAsiaTheme="minorEastAsia"/>
          <w:lang w:eastAsia="zh-CN"/>
        </w:rPr>
      </w:pPr>
      <w:r>
        <w:rPr>
          <w:rFonts w:asciiTheme="minorEastAsia" w:hAnsiTheme="minorEastAsia" w:eastAsiaTheme="minorEastAsia"/>
          <w:lang w:eastAsia="zh-CN"/>
        </w:rPr>
        <w:t>7.</w:t>
      </w:r>
      <w:r>
        <w:rPr>
          <w:rFonts w:hint="eastAsia" w:asciiTheme="minorEastAsia" w:hAnsiTheme="minorEastAsia" w:eastAsiaTheme="minorEastAsia"/>
          <w:lang w:eastAsia="zh-CN"/>
        </w:rPr>
        <w:t>投标人同意提供按照贵方可能要求的与其投标有关的一切数据或资料，完全理解贵方不一定接受最低投标报价的投标或收到的任何投标。</w:t>
      </w:r>
    </w:p>
    <w:p>
      <w:pPr>
        <w:spacing w:line="360" w:lineRule="auto"/>
        <w:ind w:left="420" w:right="-233" w:rightChars="-106"/>
        <w:rPr>
          <w:rFonts w:asciiTheme="minorEastAsia" w:hAnsiTheme="minorEastAsia" w:eastAsiaTheme="minorEastAsia"/>
          <w:lang w:eastAsia="zh-CN"/>
        </w:rPr>
      </w:pPr>
      <w:r>
        <w:rPr>
          <w:rFonts w:asciiTheme="minorEastAsia" w:hAnsiTheme="minorEastAsia" w:eastAsiaTheme="minorEastAsia"/>
          <w:lang w:eastAsia="zh-CN"/>
        </w:rPr>
        <w:t>8.</w:t>
      </w:r>
      <w:r>
        <w:rPr>
          <w:rFonts w:hint="eastAsia" w:asciiTheme="minorEastAsia" w:hAnsiTheme="minorEastAsia" w:eastAsiaTheme="minorEastAsia"/>
          <w:lang w:eastAsia="zh-CN"/>
        </w:rPr>
        <w:t>若我方获得中标，我方保证按</w:t>
      </w:r>
      <w:r>
        <w:rPr>
          <w:rFonts w:hint="eastAsia" w:asciiTheme="minorEastAsia" w:hAnsiTheme="minorEastAsia" w:eastAsiaTheme="minorEastAsia"/>
          <w:lang w:val="en-US" w:eastAsia="zh-CN"/>
        </w:rPr>
        <w:t>照标书要求提供相应服务</w:t>
      </w:r>
      <w:r>
        <w:rPr>
          <w:rFonts w:hint="eastAsia" w:asciiTheme="minorEastAsia" w:hAnsiTheme="minorEastAsia" w:eastAsiaTheme="minorEastAsia"/>
          <w:lang w:eastAsia="zh-CN"/>
        </w:rPr>
        <w:t>。</w:t>
      </w:r>
    </w:p>
    <w:p>
      <w:pPr>
        <w:spacing w:line="360" w:lineRule="auto"/>
        <w:ind w:left="420" w:right="-233" w:rightChars="-106"/>
        <w:rPr>
          <w:rFonts w:asciiTheme="minorEastAsia" w:hAnsiTheme="minorEastAsia" w:eastAsiaTheme="minorEastAsia"/>
          <w:lang w:eastAsia="zh-CN"/>
        </w:rPr>
      </w:pPr>
      <w:r>
        <w:rPr>
          <w:rFonts w:asciiTheme="minorEastAsia" w:hAnsiTheme="minorEastAsia" w:eastAsiaTheme="minorEastAsia"/>
          <w:lang w:eastAsia="zh-CN"/>
        </w:rPr>
        <w:t>9.</w:t>
      </w:r>
      <w:r>
        <w:rPr>
          <w:rFonts w:hint="eastAsia" w:asciiTheme="minorEastAsia" w:hAnsiTheme="minorEastAsia" w:eastAsiaTheme="minorEastAsia"/>
          <w:lang w:eastAsia="zh-CN"/>
        </w:rPr>
        <w:t>与本投标有关的一切正式往来信函请寄：</w:t>
      </w:r>
    </w:p>
    <w:tbl>
      <w:tblPr>
        <w:tblStyle w:val="37"/>
        <w:tblW w:w="8522" w:type="dxa"/>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tcBorders>
              <w:top w:val="nil"/>
              <w:left w:val="nil"/>
              <w:bottom w:val="nil"/>
              <w:right w:val="nil"/>
            </w:tcBorders>
          </w:tcPr>
          <w:p>
            <w:pPr>
              <w:spacing w:line="360" w:lineRule="auto"/>
              <w:ind w:right="-233" w:rightChars="-106"/>
              <w:rPr>
                <w:rFonts w:asciiTheme="minorEastAsia" w:hAnsiTheme="minorEastAsia" w:eastAsiaTheme="minorEastAsia"/>
              </w:rPr>
            </w:pPr>
            <w:r>
              <w:rPr>
                <w:rFonts w:hint="eastAsia" w:asciiTheme="minorEastAsia" w:hAnsiTheme="minorEastAsia" w:eastAsiaTheme="minorEastAsia"/>
              </w:rPr>
              <w:t>地址</w:t>
            </w:r>
          </w:p>
          <w:p>
            <w:pPr>
              <w:spacing w:line="360" w:lineRule="auto"/>
              <w:ind w:right="-233" w:rightChars="-106"/>
              <w:rPr>
                <w:rFonts w:asciiTheme="minorEastAsia" w:hAnsiTheme="minorEastAsia" w:eastAsiaTheme="minorEastAsia"/>
              </w:rPr>
            </w:pPr>
            <w:r>
              <w:rPr>
                <w:rFonts w:hint="eastAsia" w:asciiTheme="minorEastAsia" w:hAnsiTheme="minorEastAsia" w:eastAsiaTheme="minorEastAsia"/>
              </w:rPr>
              <w:t>电话</w:t>
            </w:r>
          </w:p>
        </w:tc>
        <w:tc>
          <w:tcPr>
            <w:tcW w:w="4261" w:type="dxa"/>
            <w:tcBorders>
              <w:top w:val="nil"/>
              <w:left w:val="nil"/>
              <w:bottom w:val="nil"/>
              <w:right w:val="nil"/>
            </w:tcBorders>
          </w:tcPr>
          <w:p>
            <w:pPr>
              <w:spacing w:line="360" w:lineRule="auto"/>
              <w:ind w:right="-233" w:rightChars="-106"/>
              <w:rPr>
                <w:rFonts w:asciiTheme="minorEastAsia" w:hAnsiTheme="minorEastAsia" w:eastAsiaTheme="minorEastAsia"/>
              </w:rPr>
            </w:pPr>
            <w:r>
              <w:rPr>
                <w:rFonts w:hint="eastAsia" w:asciiTheme="minorEastAsia" w:hAnsiTheme="minorEastAsia" w:eastAsiaTheme="minorEastAsia"/>
              </w:rPr>
              <w:t>传真</w:t>
            </w:r>
          </w:p>
          <w:p>
            <w:pPr>
              <w:spacing w:line="360" w:lineRule="auto"/>
              <w:ind w:right="-233" w:rightChars="-106"/>
              <w:rPr>
                <w:rFonts w:asciiTheme="minorEastAsia" w:hAnsiTheme="minorEastAsia" w:eastAsiaTheme="minorEastAsia"/>
              </w:rPr>
            </w:pPr>
            <w:r>
              <w:rPr>
                <w:rFonts w:hint="eastAsia" w:asciiTheme="minorEastAsia" w:hAnsiTheme="minorEastAsia" w:eastAsiaTheme="minorEastAsia"/>
              </w:rPr>
              <w:t>电子邮件</w:t>
            </w:r>
          </w:p>
        </w:tc>
      </w:tr>
    </w:tbl>
    <w:p>
      <w:pPr>
        <w:spacing w:line="360" w:lineRule="auto"/>
        <w:ind w:right="-233" w:rightChars="-106"/>
        <w:rPr>
          <w:rFonts w:asciiTheme="minorEastAsia" w:hAnsiTheme="minorEastAsia" w:eastAsiaTheme="minorEastAsia"/>
        </w:rPr>
      </w:pPr>
      <w:r>
        <w:rPr>
          <w:rFonts w:hint="eastAsia" w:asciiTheme="minorEastAsia" w:hAnsiTheme="minorEastAsia" w:eastAsiaTheme="minorEastAsia"/>
        </w:rPr>
        <w:t>投标人代表签字</w:t>
      </w:r>
    </w:p>
    <w:p>
      <w:pPr>
        <w:spacing w:line="360" w:lineRule="auto"/>
        <w:ind w:right="-233" w:rightChars="-106"/>
        <w:rPr>
          <w:rFonts w:asciiTheme="minorEastAsia" w:hAnsiTheme="minorEastAsia" w:eastAsiaTheme="minorEastAsia"/>
        </w:rPr>
      </w:pPr>
      <w:r>
        <w:rPr>
          <w:rFonts w:hint="eastAsia" w:asciiTheme="minorEastAsia" w:hAnsiTheme="minorEastAsia" w:eastAsiaTheme="minorEastAsia"/>
        </w:rPr>
        <w:t>投标人名称</w:t>
      </w:r>
    </w:p>
    <w:p>
      <w:pPr>
        <w:spacing w:line="360" w:lineRule="auto"/>
        <w:ind w:right="-233" w:rightChars="-106"/>
        <w:rPr>
          <w:rFonts w:asciiTheme="minorEastAsia" w:hAnsiTheme="minorEastAsia" w:eastAsiaTheme="minorEastAsia"/>
        </w:rPr>
      </w:pPr>
      <w:r>
        <w:rPr>
          <w:rFonts w:hint="eastAsia" w:asciiTheme="minorEastAsia" w:hAnsiTheme="minorEastAsia" w:eastAsiaTheme="minorEastAsia"/>
        </w:rPr>
        <w:t>投标人公章</w:t>
      </w:r>
    </w:p>
    <w:p>
      <w:pPr>
        <w:spacing w:line="360" w:lineRule="auto"/>
        <w:rPr>
          <w:rFonts w:asciiTheme="minorEastAsia" w:hAnsiTheme="minorEastAsia" w:eastAsiaTheme="minorEastAsia"/>
          <w:u w:val="single"/>
        </w:rPr>
      </w:pPr>
      <w:r>
        <w:rPr>
          <w:rFonts w:hint="eastAsia" w:asciiTheme="minorEastAsia" w:hAnsiTheme="minorEastAsia" w:eastAsiaTheme="minorEastAsia"/>
        </w:rPr>
        <w:t>日期</w:t>
      </w:r>
    </w:p>
    <w:p>
      <w:pPr>
        <w:spacing w:line="360" w:lineRule="auto"/>
        <w:rPr>
          <w:rFonts w:asciiTheme="minorEastAsia" w:hAnsiTheme="minorEastAsia" w:eastAsiaTheme="minorEastAsia"/>
        </w:rPr>
      </w:pPr>
      <w:r>
        <w:rPr>
          <w:rFonts w:asciiTheme="minorEastAsia" w:hAnsiTheme="minorEastAsia" w:eastAsiaTheme="minorEastAsia"/>
          <w:u w:val="single"/>
        </w:rPr>
        <w:br w:type="page"/>
      </w:r>
    </w:p>
    <w:p>
      <w:pPr>
        <w:keepNext/>
        <w:keepLines/>
        <w:spacing w:before="260" w:after="260" w:line="360" w:lineRule="auto"/>
        <w:outlineLvl w:val="1"/>
        <w:rPr>
          <w:rFonts w:cs="Arial" w:asciiTheme="minorEastAsia" w:hAnsiTheme="minorEastAsia" w:eastAsiaTheme="minorEastAsia"/>
          <w:b/>
          <w:bCs/>
          <w:w w:val="90"/>
          <w:lang w:eastAsia="zh-CN"/>
        </w:rPr>
      </w:pPr>
      <w:bookmarkStart w:id="193" w:name="_Toc465350708"/>
      <w:bookmarkStart w:id="194" w:name="_Toc236555305"/>
      <w:bookmarkStart w:id="195" w:name="_Toc48791229"/>
      <w:bookmarkStart w:id="196" w:name="_Toc47418932"/>
      <w:bookmarkStart w:id="197" w:name="_Toc47262063"/>
      <w:bookmarkStart w:id="198" w:name="_Toc99466915"/>
      <w:bookmarkStart w:id="199" w:name="_Toc49019230"/>
      <w:bookmarkStart w:id="200" w:name="_Toc47418725"/>
      <w:bookmarkStart w:id="201" w:name="_Toc411245422"/>
      <w:bookmarkStart w:id="202" w:name="_Toc47261684"/>
      <w:bookmarkStart w:id="203" w:name="_Toc47261879"/>
      <w:bookmarkStart w:id="204" w:name="_Toc2397"/>
      <w:bookmarkStart w:id="205" w:name="_Toc324152528"/>
      <w:bookmarkStart w:id="206" w:name="_Toc48995845"/>
      <w:bookmarkStart w:id="207" w:name="_Toc47418249"/>
      <w:r>
        <w:rPr>
          <w:rFonts w:cs="Arial" w:asciiTheme="minorEastAsia" w:hAnsiTheme="minorEastAsia" w:eastAsiaTheme="minorEastAsia"/>
          <w:b/>
          <w:bCs/>
          <w:w w:val="90"/>
          <w:lang w:eastAsia="zh-CN"/>
        </w:rPr>
        <w:t>2</w:t>
      </w:r>
      <w:r>
        <w:rPr>
          <w:rFonts w:hint="eastAsia" w:cs="Arial" w:asciiTheme="minorEastAsia" w:hAnsiTheme="minorEastAsia" w:eastAsiaTheme="minorEastAsia"/>
          <w:b/>
          <w:bCs/>
          <w:w w:val="90"/>
          <w:lang w:eastAsia="zh-CN"/>
        </w:rPr>
        <w:t>、投标一览表</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pStyle w:val="61"/>
        <w:spacing w:line="360" w:lineRule="auto"/>
        <w:rPr>
          <w:rFonts w:cs="宋体" w:asciiTheme="minorEastAsia" w:hAnsiTheme="minorEastAsia" w:eastAsiaTheme="minorEastAsia"/>
          <w:color w:val="000000"/>
          <w:sz w:val="22"/>
        </w:rPr>
      </w:pPr>
      <w:r>
        <w:rPr>
          <w:rFonts w:hint="eastAsia" w:cs="宋体" w:asciiTheme="minorEastAsia" w:hAnsiTheme="minorEastAsia" w:eastAsiaTheme="minorEastAsia"/>
          <w:color w:val="000000"/>
          <w:sz w:val="22"/>
        </w:rPr>
        <w:t>招标编号：</w:t>
      </w:r>
    </w:p>
    <w:p>
      <w:pPr>
        <w:jc w:val="right"/>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按项目列示总价</w:t>
      </w:r>
    </w:p>
    <w:tbl>
      <w:tblPr>
        <w:tblStyle w:val="38"/>
        <w:tblpPr w:leftFromText="180" w:rightFromText="180" w:vertAnchor="text" w:horzAnchor="margin" w:tblpY="169"/>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168"/>
        <w:gridCol w:w="1713"/>
        <w:gridCol w:w="1714"/>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51"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编号</w:t>
            </w:r>
          </w:p>
        </w:tc>
        <w:tc>
          <w:tcPr>
            <w:tcW w:w="3168"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项目</w:t>
            </w:r>
          </w:p>
        </w:tc>
        <w:tc>
          <w:tcPr>
            <w:tcW w:w="1713" w:type="dxa"/>
            <w:vAlign w:val="center"/>
          </w:tcPr>
          <w:p>
            <w:pPr>
              <w:jc w:val="center"/>
              <w:rPr>
                <w:rFonts w:cs="宋体" w:asciiTheme="minorEastAsia" w:hAnsiTheme="minorEastAsia" w:eastAsiaTheme="minorEastAsia"/>
                <w:lang w:eastAsia="zh-CN"/>
              </w:rPr>
            </w:pPr>
            <w:r>
              <w:rPr>
                <w:rFonts w:hint="eastAsia" w:cs="宋体" w:asciiTheme="minorEastAsia" w:hAnsiTheme="minorEastAsia" w:eastAsiaTheme="minorEastAsia"/>
                <w:lang w:eastAsia="zh-CN"/>
              </w:rPr>
              <w:t>单价（元）</w:t>
            </w:r>
          </w:p>
        </w:tc>
        <w:tc>
          <w:tcPr>
            <w:tcW w:w="1714" w:type="dxa"/>
            <w:vAlign w:val="center"/>
          </w:tcPr>
          <w:p>
            <w:pPr>
              <w:jc w:val="center"/>
              <w:rPr>
                <w:rFonts w:cs="宋体" w:asciiTheme="minorEastAsia" w:hAnsiTheme="minorEastAsia" w:eastAsiaTheme="minorEastAsia"/>
                <w:lang w:eastAsia="zh-CN"/>
              </w:rPr>
            </w:pPr>
            <w:r>
              <w:rPr>
                <w:rFonts w:hint="eastAsia" w:cs="宋体" w:asciiTheme="minorEastAsia" w:hAnsiTheme="minorEastAsia" w:eastAsiaTheme="minorEastAsia"/>
                <w:lang w:val="en-US" w:eastAsia="zh-CN"/>
              </w:rPr>
              <w:t>数量</w:t>
            </w:r>
          </w:p>
        </w:tc>
        <w:tc>
          <w:tcPr>
            <w:tcW w:w="1714"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051"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3168" w:type="dxa"/>
            <w:vAlign w:val="center"/>
          </w:tcPr>
          <w:p>
            <w:pPr>
              <w:jc w:val="both"/>
              <w:rPr>
                <w:rFonts w:cs="宋体" w:asciiTheme="minorEastAsia" w:hAnsiTheme="minorEastAsia" w:eastAsiaTheme="minorEastAsia"/>
                <w:lang w:eastAsia="zh-CN"/>
              </w:rPr>
            </w:pPr>
            <w:r>
              <w:rPr>
                <w:rFonts w:hint="eastAsia" w:asciiTheme="minorEastAsia" w:hAnsiTheme="minorEastAsia" w:eastAsiaTheme="minorEastAsia"/>
                <w:lang w:eastAsia="zh-CN"/>
              </w:rPr>
              <w:t>2022年中国</w:t>
            </w:r>
            <w:r>
              <w:rPr>
                <w:rFonts w:hint="eastAsia" w:asciiTheme="minorEastAsia" w:hAnsiTheme="minorEastAsia" w:eastAsiaTheme="minorEastAsia"/>
                <w:lang w:val="en-US" w:eastAsia="zh-CN"/>
              </w:rPr>
              <w:t>(厦门）跨境电商展综合运营</w:t>
            </w:r>
            <w:r>
              <w:rPr>
                <w:rFonts w:hint="eastAsia" w:asciiTheme="minorEastAsia" w:hAnsiTheme="minorEastAsia" w:eastAsiaTheme="minorEastAsia"/>
                <w:lang w:eastAsia="zh-CN"/>
              </w:rPr>
              <w:t>服务</w:t>
            </w:r>
          </w:p>
        </w:tc>
        <w:tc>
          <w:tcPr>
            <w:tcW w:w="1713" w:type="dxa"/>
            <w:vAlign w:val="center"/>
          </w:tcPr>
          <w:p>
            <w:pPr>
              <w:jc w:val="center"/>
              <w:rPr>
                <w:rFonts w:cs="宋体" w:asciiTheme="minorEastAsia" w:hAnsiTheme="minorEastAsia" w:eastAsiaTheme="minorEastAsia"/>
                <w:lang w:eastAsia="zh-CN"/>
              </w:rPr>
            </w:pPr>
          </w:p>
        </w:tc>
        <w:tc>
          <w:tcPr>
            <w:tcW w:w="1714" w:type="dxa"/>
            <w:vAlign w:val="center"/>
          </w:tcPr>
          <w:p>
            <w:pPr>
              <w:jc w:val="center"/>
              <w:rPr>
                <w:rFonts w:cs="宋体" w:asciiTheme="minorEastAsia" w:hAnsiTheme="minorEastAsia" w:eastAsiaTheme="minorEastAsia"/>
                <w:lang w:eastAsia="zh-CN"/>
              </w:rPr>
            </w:pPr>
          </w:p>
        </w:tc>
        <w:tc>
          <w:tcPr>
            <w:tcW w:w="1714" w:type="dxa"/>
            <w:vAlign w:val="center"/>
          </w:tcPr>
          <w:p>
            <w:pPr>
              <w:jc w:val="center"/>
              <w:rPr>
                <w:rFonts w:cs="宋体" w:asciiTheme="minorEastAsia" w:hAnsiTheme="minor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51" w:type="dxa"/>
            <w:vAlign w:val="center"/>
          </w:tcPr>
          <w:p>
            <w:pPr>
              <w:rPr>
                <w:rFonts w:cs="宋体" w:asciiTheme="minorEastAsia" w:hAnsiTheme="minorEastAsia" w:eastAsiaTheme="minorEastAsia"/>
              </w:rPr>
            </w:pPr>
          </w:p>
        </w:tc>
        <w:tc>
          <w:tcPr>
            <w:tcW w:w="3168" w:type="dxa"/>
            <w:vAlign w:val="center"/>
          </w:tcPr>
          <w:p>
            <w:pPr>
              <w:rPr>
                <w:rFonts w:cs="宋体" w:asciiTheme="minorEastAsia" w:hAnsiTheme="minorEastAsia" w:eastAsiaTheme="minorEastAsia"/>
              </w:rPr>
            </w:pPr>
            <w:r>
              <w:rPr>
                <w:rFonts w:hint="eastAsia" w:cs="宋体" w:asciiTheme="minorEastAsia" w:hAnsiTheme="minorEastAsia" w:eastAsiaTheme="minorEastAsia"/>
              </w:rPr>
              <w:t>合计</w:t>
            </w:r>
          </w:p>
        </w:tc>
        <w:tc>
          <w:tcPr>
            <w:tcW w:w="1713" w:type="dxa"/>
            <w:vAlign w:val="center"/>
          </w:tcPr>
          <w:p>
            <w:pPr>
              <w:rPr>
                <w:rFonts w:cs="宋体" w:asciiTheme="minorEastAsia" w:hAnsiTheme="minorEastAsia" w:eastAsiaTheme="minorEastAsia"/>
              </w:rPr>
            </w:pPr>
          </w:p>
        </w:tc>
        <w:tc>
          <w:tcPr>
            <w:tcW w:w="1714" w:type="dxa"/>
            <w:vAlign w:val="center"/>
          </w:tcPr>
          <w:p>
            <w:pPr>
              <w:rPr>
                <w:rFonts w:cs="宋体" w:asciiTheme="minorEastAsia" w:hAnsiTheme="minorEastAsia" w:eastAsiaTheme="minorEastAsia"/>
              </w:rPr>
            </w:pPr>
          </w:p>
        </w:tc>
        <w:tc>
          <w:tcPr>
            <w:tcW w:w="1714" w:type="dxa"/>
            <w:vAlign w:val="center"/>
          </w:tcPr>
          <w:p>
            <w:pPr>
              <w:rPr>
                <w:rFonts w:cs="宋体" w:asciiTheme="minorEastAsia" w:hAnsiTheme="minorEastAsia" w:eastAsiaTheme="minorEastAsia"/>
              </w:rPr>
            </w:pPr>
          </w:p>
        </w:tc>
      </w:tr>
    </w:tbl>
    <w:p>
      <w:pPr>
        <w:pStyle w:val="388"/>
        <w:adjustRightInd/>
        <w:snapToGrid/>
        <w:spacing w:after="0"/>
        <w:rPr>
          <w:rFonts w:cs="宋体" w:asciiTheme="minorEastAsia" w:hAnsiTheme="minorEastAsia" w:eastAsiaTheme="minorEastAsia"/>
          <w:color w:val="000000"/>
          <w:sz w:val="22"/>
          <w:szCs w:val="22"/>
          <w:lang w:eastAsia="zh-CN"/>
        </w:rPr>
      </w:pPr>
      <w:r>
        <w:rPr>
          <w:rFonts w:hint="eastAsia" w:cs="宋体" w:asciiTheme="minorEastAsia" w:hAnsiTheme="minorEastAsia" w:eastAsiaTheme="minorEastAsia"/>
          <w:sz w:val="22"/>
          <w:szCs w:val="22"/>
          <w:lang w:eastAsia="zh-CN"/>
        </w:rPr>
        <w:t xml:space="preserve">  注：1、以上报价为包含全部服务项目所需管理系统、设备、人员等全部服务的含税最终报价，货币单位为：人民币元。</w:t>
      </w:r>
    </w:p>
    <w:p>
      <w:pPr>
        <w:pStyle w:val="388"/>
        <w:adjustRightInd/>
        <w:snapToGrid/>
        <w:spacing w:after="0"/>
        <w:rPr>
          <w:rFonts w:cs="宋体" w:asciiTheme="minorEastAsia" w:hAnsiTheme="minorEastAsia" w:eastAsiaTheme="minorEastAsia"/>
          <w:color w:val="000000"/>
          <w:sz w:val="22"/>
          <w:szCs w:val="22"/>
          <w:lang w:eastAsia="zh-CN"/>
        </w:rPr>
      </w:pPr>
      <w:r>
        <w:rPr>
          <w:rFonts w:hint="eastAsia" w:cs="宋体" w:asciiTheme="minorEastAsia" w:hAnsiTheme="minorEastAsia" w:eastAsiaTheme="minorEastAsia"/>
          <w:color w:val="000000"/>
          <w:sz w:val="22"/>
          <w:szCs w:val="22"/>
          <w:lang w:eastAsia="zh-CN"/>
        </w:rPr>
        <w:t xml:space="preserve">      2、此表应按投标人须知的规定密封、标记并单独提交，以便在开标时使用。</w:t>
      </w:r>
    </w:p>
    <w:p>
      <w:pPr>
        <w:ind w:firstLine="660" w:firstLineChars="30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t>、若</w:t>
      </w:r>
      <w:r>
        <w:rPr>
          <w:rFonts w:hint="eastAsia" w:asciiTheme="minorEastAsia" w:hAnsiTheme="minorEastAsia" w:eastAsiaTheme="minorEastAsia"/>
          <w:lang w:eastAsia="zh-CN"/>
        </w:rPr>
        <w:t>2022年中国</w:t>
      </w:r>
      <w:r>
        <w:rPr>
          <w:rFonts w:hint="eastAsia" w:asciiTheme="minorEastAsia" w:hAnsiTheme="minorEastAsia" w:eastAsiaTheme="minorEastAsia"/>
          <w:lang w:val="en-US" w:eastAsia="zh-CN"/>
        </w:rPr>
        <w:t>(厦门）跨境电商展综合运营</w:t>
      </w:r>
      <w:r>
        <w:rPr>
          <w:rFonts w:hint="eastAsia" w:asciiTheme="minorEastAsia" w:hAnsiTheme="minorEastAsia" w:eastAsiaTheme="minorEastAsia"/>
          <w:lang w:eastAsia="zh-CN"/>
        </w:rPr>
        <w:t>服务</w:t>
      </w:r>
      <w:r>
        <w:rPr>
          <w:rFonts w:hint="eastAsia" w:asciiTheme="minorEastAsia" w:hAnsiTheme="minorEastAsia" w:eastAsiaTheme="minorEastAsia"/>
          <w:lang w:val="en-US" w:eastAsia="zh-CN"/>
        </w:rPr>
        <w:t>项目</w:t>
      </w:r>
      <w:r>
        <w:rPr>
          <w:rFonts w:hint="eastAsia" w:asciiTheme="minorEastAsia" w:hAnsiTheme="minorEastAsia" w:eastAsiaTheme="minorEastAsia" w:cstheme="minorEastAsia"/>
          <w:lang w:eastAsia="zh-CN"/>
        </w:rPr>
        <w:t>报价明细中未报价的部分，以招标方与中标方商谈为准，其价格不应超过展览所在地市场价格水平;如若超过当地价格水平,主办方有权另行寻找服务方。</w:t>
      </w:r>
    </w:p>
    <w:p>
      <w:pPr>
        <w:pStyle w:val="388"/>
        <w:adjustRightInd/>
        <w:snapToGrid/>
        <w:spacing w:after="0"/>
        <w:rPr>
          <w:rFonts w:cs="宋体" w:asciiTheme="minorEastAsia" w:hAnsiTheme="minorEastAsia" w:eastAsiaTheme="minorEastAsia"/>
          <w:sz w:val="22"/>
          <w:szCs w:val="22"/>
          <w:lang w:eastAsia="zh-CN"/>
        </w:rPr>
      </w:pPr>
    </w:p>
    <w:p>
      <w:pPr>
        <w:pStyle w:val="388"/>
        <w:adjustRightInd/>
        <w:snapToGrid/>
        <w:spacing w:after="0"/>
        <w:rPr>
          <w:rFonts w:cs="宋体" w:asciiTheme="minorEastAsia" w:hAnsiTheme="minorEastAsia" w:eastAsiaTheme="minorEastAsia"/>
          <w:color w:val="000000"/>
          <w:sz w:val="22"/>
          <w:szCs w:val="22"/>
          <w:u w:val="single"/>
          <w:lang w:eastAsia="zh-CN"/>
        </w:rPr>
      </w:pPr>
      <w:r>
        <w:rPr>
          <w:rFonts w:hint="eastAsia" w:cs="宋体" w:asciiTheme="minorEastAsia" w:hAnsiTheme="minorEastAsia" w:eastAsiaTheme="minorEastAsia"/>
          <w:color w:val="000000"/>
          <w:sz w:val="22"/>
          <w:szCs w:val="22"/>
          <w:lang w:eastAsia="zh-CN"/>
        </w:rPr>
        <w:t>投标人名称：</w:t>
      </w:r>
      <w:r>
        <w:rPr>
          <w:rFonts w:hint="eastAsia" w:cs="宋体" w:asciiTheme="minorEastAsia" w:hAnsiTheme="minorEastAsia" w:eastAsiaTheme="minorEastAsia"/>
          <w:color w:val="000000"/>
          <w:sz w:val="22"/>
          <w:szCs w:val="22"/>
          <w:u w:val="single"/>
          <w:lang w:eastAsia="zh-CN"/>
        </w:rPr>
        <w:t xml:space="preserve">        公章         </w:t>
      </w:r>
    </w:p>
    <w:p>
      <w:pPr>
        <w:spacing w:line="360" w:lineRule="auto"/>
        <w:rPr>
          <w:rFonts w:cs="宋体" w:asciiTheme="minorEastAsia" w:hAnsiTheme="minorEastAsia" w:eastAsiaTheme="minorEastAsia"/>
          <w:color w:val="000000"/>
          <w:u w:val="single"/>
          <w:lang w:eastAsia="zh-CN"/>
        </w:rPr>
      </w:pPr>
      <w:r>
        <w:rPr>
          <w:rFonts w:hint="eastAsia" w:cs="宋体" w:asciiTheme="minorEastAsia" w:hAnsiTheme="minorEastAsia" w:eastAsiaTheme="minorEastAsia"/>
          <w:color w:val="000000"/>
          <w:lang w:eastAsia="zh-CN"/>
        </w:rPr>
        <w:t>授权代表：</w:t>
      </w:r>
      <w:r>
        <w:rPr>
          <w:rFonts w:hint="eastAsia" w:cs="宋体" w:asciiTheme="minorEastAsia" w:hAnsiTheme="minorEastAsia" w:eastAsiaTheme="minorEastAsia"/>
          <w:color w:val="000000"/>
          <w:u w:val="single"/>
          <w:lang w:eastAsia="zh-CN"/>
        </w:rPr>
        <w:t xml:space="preserve">     签字             </w:t>
      </w:r>
    </w:p>
    <w:p>
      <w:pPr>
        <w:pStyle w:val="388"/>
        <w:adjustRightInd/>
        <w:snapToGrid/>
        <w:spacing w:after="0"/>
        <w:rPr>
          <w:rFonts w:cs="宋体" w:asciiTheme="minorEastAsia" w:hAnsiTheme="minorEastAsia" w:eastAsiaTheme="minorEastAsia"/>
          <w:color w:val="000000"/>
          <w:sz w:val="22"/>
          <w:szCs w:val="22"/>
          <w:u w:val="single"/>
          <w:lang w:eastAsia="zh-CN"/>
        </w:rPr>
      </w:pPr>
      <w:r>
        <w:rPr>
          <w:rFonts w:hint="eastAsia" w:cs="宋体" w:asciiTheme="minorEastAsia" w:hAnsiTheme="minorEastAsia" w:eastAsiaTheme="minorEastAsia"/>
          <w:color w:val="000000"/>
          <w:sz w:val="22"/>
          <w:szCs w:val="22"/>
          <w:lang w:eastAsia="zh-CN"/>
        </w:rPr>
        <w:t>日期 ：</w:t>
      </w:r>
    </w:p>
    <w:p>
      <w:pPr>
        <w:ind w:right="420"/>
        <w:rPr>
          <w:rFonts w:cs="宋体" w:asciiTheme="minorEastAsia" w:hAnsiTheme="minorEastAsia" w:eastAsiaTheme="minorEastAsia"/>
          <w:lang w:eastAsia="zh-CN"/>
        </w:rPr>
      </w:pPr>
    </w:p>
    <w:p>
      <w:pPr>
        <w:ind w:right="420"/>
        <w:rPr>
          <w:rFonts w:cs="宋体" w:asciiTheme="minorEastAsia" w:hAnsiTheme="minorEastAsia" w:eastAsiaTheme="minorEastAsia"/>
          <w:lang w:eastAsia="zh-CN"/>
        </w:rPr>
      </w:pPr>
    </w:p>
    <w:p>
      <w:pPr>
        <w:ind w:right="420"/>
        <w:rPr>
          <w:rFonts w:cs="宋体" w:asciiTheme="minorEastAsia" w:hAnsiTheme="minorEastAsia" w:eastAsiaTheme="minorEastAsia"/>
          <w:lang w:eastAsia="zh-CN"/>
        </w:rPr>
      </w:pPr>
      <w:r>
        <w:rPr>
          <w:rFonts w:cs="宋体" w:asciiTheme="minorEastAsia" w:hAnsiTheme="minorEastAsia" w:eastAsiaTheme="minorEastAsia"/>
          <w:lang w:eastAsia="zh-CN"/>
        </w:rPr>
        <w:br w:type="page"/>
      </w:r>
    </w:p>
    <w:p>
      <w:pPr>
        <w:ind w:right="420"/>
        <w:rPr>
          <w:rFonts w:cs="宋体" w:asciiTheme="minorEastAsia" w:hAnsiTheme="minorEastAsia" w:eastAsiaTheme="minorEastAsia"/>
          <w:lang w:eastAsia="zh-CN"/>
        </w:rPr>
      </w:pPr>
      <w:r>
        <w:rPr>
          <w:rFonts w:hint="eastAsia" w:cs="Arial" w:asciiTheme="minorEastAsia" w:hAnsiTheme="minorEastAsia" w:eastAsiaTheme="minorEastAsia"/>
          <w:b/>
          <w:bCs/>
          <w:w w:val="90"/>
          <w:lang w:eastAsia="zh-CN"/>
        </w:rPr>
        <w:t>2、明细报价表</w:t>
      </w:r>
    </w:p>
    <w:p>
      <w:pP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eastAsia="zh-CN"/>
        </w:rPr>
        <w:t xml:space="preserve">    </w:t>
      </w:r>
      <w:r>
        <w:rPr>
          <w:rFonts w:hint="eastAsia" w:cs="宋体" w:asciiTheme="minorEastAsia" w:hAnsiTheme="minorEastAsia" w:eastAsiaTheme="minorEastAsia"/>
          <w:lang w:val="en-US" w:eastAsia="zh-CN"/>
        </w:rPr>
        <w:t>投标人可自行编制明细报价表，应体现相关服务及物料的项目名称、材质、单价及相关备注。（模板仅供参考）</w:t>
      </w:r>
    </w:p>
    <w:tbl>
      <w:tblPr>
        <w:tblStyle w:val="38"/>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470"/>
        <w:gridCol w:w="837"/>
        <w:gridCol w:w="1274"/>
        <w:gridCol w:w="1275"/>
        <w:gridCol w:w="127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keepNext/>
              <w:keepLines/>
              <w:spacing w:before="260" w:after="260" w:line="360" w:lineRule="auto"/>
              <w:jc w:val="center"/>
              <w:outlineLvl w:val="1"/>
              <w:rPr>
                <w:rFonts w:hint="default" w:cs="Arial" w:asciiTheme="minorEastAsia" w:hAnsiTheme="minorEastAsia" w:eastAsiaTheme="minorEastAsia"/>
                <w:b/>
                <w:bCs/>
                <w:w w:val="90"/>
                <w:vertAlign w:val="baseline"/>
                <w:lang w:val="en-US" w:eastAsia="zh-CN"/>
              </w:rPr>
            </w:pPr>
            <w:bookmarkStart w:id="208" w:name="_Toc48791235"/>
            <w:bookmarkStart w:id="209" w:name="_Toc236555309"/>
            <w:bookmarkStart w:id="210" w:name="_Toc324152532"/>
            <w:bookmarkStart w:id="211" w:name="_Toc99466921"/>
            <w:bookmarkStart w:id="212" w:name="_Toc411245423"/>
            <w:bookmarkStart w:id="213" w:name="_Toc49019236"/>
            <w:bookmarkStart w:id="214" w:name="_Toc47418731"/>
            <w:bookmarkStart w:id="215" w:name="_Toc465350709"/>
            <w:bookmarkStart w:id="216" w:name="_Toc47418938"/>
            <w:bookmarkStart w:id="217" w:name="_Toc47261690"/>
            <w:bookmarkStart w:id="218" w:name="_Toc47418255"/>
            <w:bookmarkStart w:id="219" w:name="_Toc47262069"/>
            <w:bookmarkStart w:id="220" w:name="_Toc48995851"/>
            <w:bookmarkStart w:id="221" w:name="_Toc47261885"/>
            <w:r>
              <w:rPr>
                <w:rFonts w:hint="eastAsia" w:cs="Arial" w:asciiTheme="minorEastAsia" w:hAnsiTheme="minorEastAsia" w:eastAsiaTheme="minorEastAsia"/>
                <w:b/>
                <w:bCs/>
                <w:w w:val="90"/>
                <w:vertAlign w:val="baseline"/>
                <w:lang w:val="en-US" w:eastAsia="zh-CN"/>
              </w:rPr>
              <w:t>编号</w:t>
            </w:r>
          </w:p>
        </w:tc>
        <w:tc>
          <w:tcPr>
            <w:tcW w:w="1470" w:type="dxa"/>
          </w:tcPr>
          <w:p>
            <w:pPr>
              <w:keepNext/>
              <w:keepLines/>
              <w:spacing w:before="260" w:after="260" w:line="360" w:lineRule="auto"/>
              <w:jc w:val="center"/>
              <w:outlineLvl w:val="1"/>
              <w:rPr>
                <w:rFonts w:hint="default" w:cs="Arial" w:asciiTheme="minorEastAsia" w:hAnsiTheme="minorEastAsia" w:eastAsiaTheme="minorEastAsia"/>
                <w:b/>
                <w:bCs/>
                <w:w w:val="90"/>
                <w:vertAlign w:val="baseline"/>
                <w:lang w:val="en-US" w:eastAsia="zh-CN"/>
              </w:rPr>
            </w:pPr>
            <w:r>
              <w:rPr>
                <w:rFonts w:hint="eastAsia" w:cs="Arial" w:asciiTheme="minorEastAsia" w:hAnsiTheme="minorEastAsia" w:eastAsiaTheme="minorEastAsia"/>
                <w:b/>
                <w:bCs/>
                <w:w w:val="90"/>
                <w:vertAlign w:val="baseline"/>
                <w:lang w:val="en-US" w:eastAsia="zh-CN"/>
              </w:rPr>
              <w:t>项目</w:t>
            </w:r>
          </w:p>
        </w:tc>
        <w:tc>
          <w:tcPr>
            <w:tcW w:w="837" w:type="dxa"/>
          </w:tcPr>
          <w:p>
            <w:pPr>
              <w:keepNext/>
              <w:keepLines/>
              <w:spacing w:before="260" w:after="260" w:line="360" w:lineRule="auto"/>
              <w:jc w:val="center"/>
              <w:outlineLvl w:val="1"/>
              <w:rPr>
                <w:rFonts w:hint="default" w:cs="Arial" w:asciiTheme="minorEastAsia" w:hAnsiTheme="minorEastAsia" w:eastAsiaTheme="minorEastAsia"/>
                <w:b/>
                <w:bCs/>
                <w:w w:val="90"/>
                <w:vertAlign w:val="baseline"/>
                <w:lang w:val="en-US" w:eastAsia="zh-CN"/>
              </w:rPr>
            </w:pPr>
            <w:r>
              <w:rPr>
                <w:rFonts w:hint="eastAsia" w:cs="Arial" w:asciiTheme="minorEastAsia" w:hAnsiTheme="minorEastAsia" w:eastAsiaTheme="minorEastAsia"/>
                <w:b/>
                <w:bCs/>
                <w:w w:val="90"/>
                <w:vertAlign w:val="baseline"/>
                <w:lang w:val="en-US" w:eastAsia="zh-CN"/>
              </w:rPr>
              <w:t>规格</w:t>
            </w:r>
          </w:p>
        </w:tc>
        <w:tc>
          <w:tcPr>
            <w:tcW w:w="1274" w:type="dxa"/>
          </w:tcPr>
          <w:p>
            <w:pPr>
              <w:keepNext/>
              <w:keepLines/>
              <w:spacing w:before="260" w:after="260" w:line="360" w:lineRule="auto"/>
              <w:jc w:val="center"/>
              <w:outlineLvl w:val="1"/>
              <w:rPr>
                <w:rFonts w:hint="default" w:cs="Arial" w:asciiTheme="minorEastAsia" w:hAnsiTheme="minorEastAsia" w:eastAsiaTheme="minorEastAsia"/>
                <w:b/>
                <w:bCs/>
                <w:w w:val="90"/>
                <w:vertAlign w:val="baseline"/>
                <w:lang w:val="en-US" w:eastAsia="zh-CN"/>
              </w:rPr>
            </w:pPr>
            <w:r>
              <w:rPr>
                <w:rFonts w:hint="eastAsia" w:cs="Arial" w:asciiTheme="minorEastAsia" w:hAnsiTheme="minorEastAsia" w:eastAsiaTheme="minorEastAsia"/>
                <w:b/>
                <w:bCs/>
                <w:w w:val="90"/>
                <w:vertAlign w:val="baseline"/>
                <w:lang w:val="en-US" w:eastAsia="zh-CN"/>
              </w:rPr>
              <w:t>单位</w:t>
            </w:r>
          </w:p>
        </w:tc>
        <w:tc>
          <w:tcPr>
            <w:tcW w:w="1275" w:type="dxa"/>
          </w:tcPr>
          <w:p>
            <w:pPr>
              <w:keepNext/>
              <w:keepLines/>
              <w:spacing w:before="260" w:after="260" w:line="360" w:lineRule="auto"/>
              <w:jc w:val="center"/>
              <w:outlineLvl w:val="1"/>
              <w:rPr>
                <w:rFonts w:hint="default" w:cs="Arial" w:asciiTheme="minorEastAsia" w:hAnsiTheme="minorEastAsia" w:eastAsiaTheme="minorEastAsia"/>
                <w:b/>
                <w:bCs/>
                <w:w w:val="90"/>
                <w:vertAlign w:val="baseline"/>
                <w:lang w:val="en-US" w:eastAsia="zh-CN"/>
              </w:rPr>
            </w:pPr>
            <w:r>
              <w:rPr>
                <w:rFonts w:hint="eastAsia" w:cs="Arial" w:asciiTheme="minorEastAsia" w:hAnsiTheme="minorEastAsia" w:eastAsiaTheme="minorEastAsia"/>
                <w:b/>
                <w:bCs/>
                <w:w w:val="90"/>
                <w:vertAlign w:val="baseline"/>
                <w:lang w:val="en-US" w:eastAsia="zh-CN"/>
              </w:rPr>
              <w:t>单价</w:t>
            </w:r>
          </w:p>
        </w:tc>
        <w:tc>
          <w:tcPr>
            <w:tcW w:w="1275" w:type="dxa"/>
          </w:tcPr>
          <w:p>
            <w:pPr>
              <w:keepNext/>
              <w:keepLines/>
              <w:spacing w:before="260" w:after="260" w:line="360" w:lineRule="auto"/>
              <w:jc w:val="center"/>
              <w:outlineLvl w:val="1"/>
              <w:rPr>
                <w:rFonts w:hint="default" w:cs="Arial" w:asciiTheme="minorEastAsia" w:hAnsiTheme="minorEastAsia" w:eastAsiaTheme="minorEastAsia"/>
                <w:b/>
                <w:bCs/>
                <w:w w:val="90"/>
                <w:vertAlign w:val="baseline"/>
                <w:lang w:val="en-US" w:eastAsia="zh-CN"/>
              </w:rPr>
            </w:pPr>
            <w:r>
              <w:rPr>
                <w:rFonts w:hint="eastAsia" w:cs="Arial" w:asciiTheme="minorEastAsia" w:hAnsiTheme="minorEastAsia" w:eastAsiaTheme="minorEastAsia"/>
                <w:b/>
                <w:bCs/>
                <w:w w:val="90"/>
                <w:vertAlign w:val="baseline"/>
                <w:lang w:val="en-US" w:eastAsia="zh-CN"/>
              </w:rPr>
              <w:t>数量</w:t>
            </w:r>
          </w:p>
        </w:tc>
        <w:tc>
          <w:tcPr>
            <w:tcW w:w="1774" w:type="dxa"/>
          </w:tcPr>
          <w:p>
            <w:pPr>
              <w:keepNext/>
              <w:keepLines/>
              <w:spacing w:before="260" w:after="260" w:line="360" w:lineRule="auto"/>
              <w:jc w:val="center"/>
              <w:outlineLvl w:val="1"/>
              <w:rPr>
                <w:rFonts w:hint="default" w:cs="Arial" w:asciiTheme="minorEastAsia" w:hAnsiTheme="minorEastAsia" w:eastAsiaTheme="minorEastAsia"/>
                <w:b/>
                <w:bCs/>
                <w:w w:val="90"/>
                <w:vertAlign w:val="baseline"/>
                <w:lang w:val="en-US" w:eastAsia="zh-CN"/>
              </w:rPr>
            </w:pPr>
            <w:r>
              <w:rPr>
                <w:rFonts w:hint="eastAsia" w:cs="Arial" w:asciiTheme="minorEastAsia" w:hAnsiTheme="minorEastAsia" w:eastAsiaTheme="minorEastAsia"/>
                <w:b/>
                <w:bCs/>
                <w:w w:val="90"/>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1</w:t>
            </w:r>
          </w:p>
        </w:tc>
        <w:tc>
          <w:tcPr>
            <w:tcW w:w="1470"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主场服务费</w:t>
            </w:r>
          </w:p>
        </w:tc>
        <w:tc>
          <w:tcPr>
            <w:tcW w:w="837" w:type="dxa"/>
          </w:tcPr>
          <w:p>
            <w:pPr>
              <w:jc w:val="both"/>
              <w:rPr>
                <w:rFonts w:hint="eastAsia" w:asciiTheme="minorEastAsia" w:hAnsiTheme="minorEastAsia" w:eastAsiaTheme="minorEastAsia"/>
                <w:lang w:eastAsia="zh-CN"/>
              </w:rPr>
            </w:pPr>
          </w:p>
        </w:tc>
        <w:tc>
          <w:tcPr>
            <w:tcW w:w="1274" w:type="dxa"/>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项</w:t>
            </w:r>
          </w:p>
        </w:tc>
        <w:tc>
          <w:tcPr>
            <w:tcW w:w="1275" w:type="dxa"/>
          </w:tcPr>
          <w:p>
            <w:pPr>
              <w:jc w:val="both"/>
              <w:rPr>
                <w:rFonts w:hint="eastAsia" w:asciiTheme="minorEastAsia" w:hAnsiTheme="minorEastAsia" w:eastAsiaTheme="minorEastAsia"/>
                <w:lang w:eastAsia="zh-CN"/>
              </w:rPr>
            </w:pPr>
          </w:p>
        </w:tc>
        <w:tc>
          <w:tcPr>
            <w:tcW w:w="127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1</w:t>
            </w:r>
          </w:p>
        </w:tc>
        <w:tc>
          <w:tcPr>
            <w:tcW w:w="1774" w:type="dxa"/>
          </w:tcPr>
          <w:p>
            <w:pPr>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该项最高限价为5.8万元</w:t>
            </w:r>
            <w:r>
              <w:rPr>
                <w:rFonts w:hint="eastAsia"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w:t>
            </w:r>
          </w:p>
        </w:tc>
        <w:tc>
          <w:tcPr>
            <w:tcW w:w="1470"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氛围设计</w:t>
            </w:r>
          </w:p>
        </w:tc>
        <w:tc>
          <w:tcPr>
            <w:tcW w:w="837" w:type="dxa"/>
          </w:tcPr>
          <w:p>
            <w:pPr>
              <w:jc w:val="both"/>
              <w:rPr>
                <w:rFonts w:hint="eastAsia" w:asciiTheme="minorEastAsia" w:hAnsiTheme="minorEastAsia" w:eastAsiaTheme="minorEastAsia"/>
                <w:lang w:eastAsia="zh-CN"/>
              </w:rPr>
            </w:pPr>
          </w:p>
        </w:tc>
        <w:tc>
          <w:tcPr>
            <w:tcW w:w="1274" w:type="dxa"/>
          </w:tcPr>
          <w:p>
            <w:pPr>
              <w:jc w:val="center"/>
              <w:rPr>
                <w:rFonts w:hint="eastAsia" w:asciiTheme="minorEastAsia" w:hAnsiTheme="minorEastAsia" w:eastAsiaTheme="minorEastAsia"/>
                <w:lang w:eastAsia="zh-CN"/>
              </w:rPr>
            </w:pPr>
          </w:p>
        </w:tc>
        <w:tc>
          <w:tcPr>
            <w:tcW w:w="1275" w:type="dxa"/>
          </w:tcPr>
          <w:p>
            <w:pPr>
              <w:jc w:val="both"/>
              <w:rPr>
                <w:rFonts w:hint="eastAsia" w:asciiTheme="minorEastAsia" w:hAnsiTheme="minorEastAsia" w:eastAsiaTheme="minorEastAsia"/>
                <w:lang w:eastAsia="zh-CN"/>
              </w:rPr>
            </w:pPr>
          </w:p>
        </w:tc>
        <w:tc>
          <w:tcPr>
            <w:tcW w:w="1275" w:type="dxa"/>
          </w:tcPr>
          <w:p>
            <w:pPr>
              <w:jc w:val="both"/>
              <w:rPr>
                <w:rFonts w:hint="eastAsia" w:asciiTheme="minorEastAsia" w:hAnsiTheme="minorEastAsia" w:eastAsiaTheme="minorEastAsia"/>
                <w:lang w:eastAsia="zh-CN"/>
              </w:rPr>
            </w:pPr>
          </w:p>
        </w:tc>
        <w:tc>
          <w:tcPr>
            <w:tcW w:w="1774" w:type="dxa"/>
          </w:tcPr>
          <w:p>
            <w:pPr>
              <w:jc w:val="both"/>
              <w:rPr>
                <w:rFonts w:hint="eastAsia" w:asciiTheme="minorEastAsia" w:hAnsiTheme="minor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3(会议服务）</w:t>
            </w:r>
          </w:p>
        </w:tc>
        <w:tc>
          <w:tcPr>
            <w:tcW w:w="1470"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会场led</w:t>
            </w:r>
          </w:p>
        </w:tc>
        <w:tc>
          <w:tcPr>
            <w:tcW w:w="837"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1274" w:type="dxa"/>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平方</w:t>
            </w:r>
          </w:p>
        </w:tc>
        <w:tc>
          <w:tcPr>
            <w:tcW w:w="127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127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1774" w:type="dxa"/>
            <w:vMerge w:val="restart"/>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（该项最高限价为40万元）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1470"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会场舞台</w:t>
            </w:r>
          </w:p>
        </w:tc>
        <w:tc>
          <w:tcPr>
            <w:tcW w:w="837" w:type="dxa"/>
          </w:tcPr>
          <w:p>
            <w:pPr>
              <w:jc w:val="both"/>
              <w:rPr>
                <w:rFonts w:hint="eastAsia" w:asciiTheme="minorEastAsia" w:hAnsiTheme="minorEastAsia" w:eastAsiaTheme="minorEastAsia"/>
                <w:lang w:val="en-US" w:eastAsia="zh-CN"/>
              </w:rPr>
            </w:pPr>
          </w:p>
        </w:tc>
        <w:tc>
          <w:tcPr>
            <w:tcW w:w="1274" w:type="dxa"/>
          </w:tcPr>
          <w:p>
            <w:pPr>
              <w:jc w:val="center"/>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774" w:type="dxa"/>
            <w:vMerge w:val="continue"/>
          </w:tcPr>
          <w:p>
            <w:pPr>
              <w:jc w:val="both"/>
              <w:rPr>
                <w:rFonts w:hint="eastAsia" w:asciiTheme="minorEastAsia" w:hAnsiTheme="minor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1470"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会场灯光</w:t>
            </w:r>
          </w:p>
        </w:tc>
        <w:tc>
          <w:tcPr>
            <w:tcW w:w="837" w:type="dxa"/>
          </w:tcPr>
          <w:p>
            <w:pPr>
              <w:jc w:val="both"/>
              <w:rPr>
                <w:rFonts w:hint="eastAsia" w:asciiTheme="minorEastAsia" w:hAnsiTheme="minorEastAsia" w:eastAsiaTheme="minorEastAsia"/>
                <w:lang w:val="en-US" w:eastAsia="zh-CN"/>
              </w:rPr>
            </w:pPr>
          </w:p>
        </w:tc>
        <w:tc>
          <w:tcPr>
            <w:tcW w:w="1274" w:type="dxa"/>
          </w:tcPr>
          <w:p>
            <w:pPr>
              <w:jc w:val="center"/>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774" w:type="dxa"/>
            <w:vMerge w:val="continue"/>
          </w:tcPr>
          <w:p>
            <w:pPr>
              <w:jc w:val="both"/>
              <w:rPr>
                <w:rFonts w:hint="eastAsia" w:asciiTheme="minorEastAsia" w:hAnsiTheme="minor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1470"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会场音响</w:t>
            </w:r>
          </w:p>
        </w:tc>
        <w:tc>
          <w:tcPr>
            <w:tcW w:w="837"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1274" w:type="dxa"/>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127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127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1774" w:type="dxa"/>
            <w:vMerge w:val="continue"/>
          </w:tcPr>
          <w:p>
            <w:pPr>
              <w:jc w:val="both"/>
              <w:rPr>
                <w:rFonts w:hint="default" w:asciiTheme="minorEastAsia" w:hAnsiTheme="minor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4（接待服务）</w:t>
            </w:r>
          </w:p>
        </w:tc>
        <w:tc>
          <w:tcPr>
            <w:tcW w:w="1470"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接待车辆</w:t>
            </w:r>
          </w:p>
        </w:tc>
        <w:tc>
          <w:tcPr>
            <w:tcW w:w="837"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1274" w:type="dxa"/>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辆</w:t>
            </w:r>
          </w:p>
        </w:tc>
        <w:tc>
          <w:tcPr>
            <w:tcW w:w="127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127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1774" w:type="dxa"/>
            <w:vMerge w:val="restart"/>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（该项最高限价为10万元）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both"/>
              <w:rPr>
                <w:rFonts w:hint="eastAsia" w:asciiTheme="minorEastAsia" w:hAnsiTheme="minorEastAsia" w:eastAsiaTheme="minorEastAsia"/>
                <w:lang w:val="en-US" w:eastAsia="zh-CN"/>
              </w:rPr>
            </w:pPr>
          </w:p>
        </w:tc>
        <w:tc>
          <w:tcPr>
            <w:tcW w:w="1470"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接待人员</w:t>
            </w:r>
          </w:p>
        </w:tc>
        <w:tc>
          <w:tcPr>
            <w:tcW w:w="837" w:type="dxa"/>
          </w:tcPr>
          <w:p>
            <w:pPr>
              <w:jc w:val="both"/>
              <w:rPr>
                <w:rFonts w:hint="eastAsia" w:asciiTheme="minorEastAsia" w:hAnsiTheme="minorEastAsia" w:eastAsiaTheme="minorEastAsia"/>
                <w:lang w:val="en-US" w:eastAsia="zh-CN"/>
              </w:rPr>
            </w:pPr>
          </w:p>
        </w:tc>
        <w:tc>
          <w:tcPr>
            <w:tcW w:w="1274" w:type="dxa"/>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人/日</w:t>
            </w:r>
          </w:p>
        </w:tc>
        <w:tc>
          <w:tcPr>
            <w:tcW w:w="1275" w:type="dxa"/>
          </w:tcPr>
          <w:p>
            <w:pPr>
              <w:jc w:val="both"/>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774" w:type="dxa"/>
            <w:vMerge w:val="continue"/>
          </w:tcPr>
          <w:p>
            <w:pPr>
              <w:jc w:val="both"/>
              <w:rPr>
                <w:rFonts w:hint="eastAsia" w:asciiTheme="minorEastAsia" w:hAnsiTheme="minor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both"/>
              <w:rPr>
                <w:rFonts w:hint="eastAsia" w:asciiTheme="minorEastAsia" w:hAnsiTheme="minorEastAsia" w:eastAsiaTheme="minorEastAsia"/>
                <w:lang w:val="en-US" w:eastAsia="zh-CN"/>
              </w:rPr>
            </w:pPr>
          </w:p>
        </w:tc>
        <w:tc>
          <w:tcPr>
            <w:tcW w:w="1470"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服务费</w:t>
            </w:r>
          </w:p>
        </w:tc>
        <w:tc>
          <w:tcPr>
            <w:tcW w:w="837" w:type="dxa"/>
          </w:tcPr>
          <w:p>
            <w:pPr>
              <w:jc w:val="both"/>
              <w:rPr>
                <w:rFonts w:hint="eastAsia" w:asciiTheme="minorEastAsia" w:hAnsiTheme="minorEastAsia" w:eastAsiaTheme="minorEastAsia"/>
                <w:lang w:val="en-US" w:eastAsia="zh-CN"/>
              </w:rPr>
            </w:pPr>
          </w:p>
        </w:tc>
        <w:tc>
          <w:tcPr>
            <w:tcW w:w="1274" w:type="dxa"/>
          </w:tcPr>
          <w:p>
            <w:pPr>
              <w:jc w:val="both"/>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774" w:type="dxa"/>
            <w:vMerge w:val="continue"/>
          </w:tcPr>
          <w:p>
            <w:pPr>
              <w:jc w:val="both"/>
              <w:rPr>
                <w:rFonts w:hint="eastAsia" w:asciiTheme="minorEastAsia" w:hAnsiTheme="minor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5</w:t>
            </w:r>
          </w:p>
        </w:tc>
        <w:tc>
          <w:tcPr>
            <w:tcW w:w="1470"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其它</w:t>
            </w:r>
          </w:p>
        </w:tc>
        <w:tc>
          <w:tcPr>
            <w:tcW w:w="837" w:type="dxa"/>
          </w:tcPr>
          <w:p>
            <w:pPr>
              <w:jc w:val="both"/>
              <w:rPr>
                <w:rFonts w:hint="eastAsia" w:asciiTheme="minorEastAsia" w:hAnsiTheme="minorEastAsia" w:eastAsiaTheme="minorEastAsia"/>
                <w:lang w:val="en-US" w:eastAsia="zh-CN"/>
              </w:rPr>
            </w:pPr>
          </w:p>
        </w:tc>
        <w:tc>
          <w:tcPr>
            <w:tcW w:w="1274" w:type="dxa"/>
          </w:tcPr>
          <w:p>
            <w:pPr>
              <w:jc w:val="both"/>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774" w:type="dxa"/>
          </w:tcPr>
          <w:p>
            <w:pPr>
              <w:jc w:val="both"/>
              <w:rPr>
                <w:rFonts w:hint="eastAsia" w:asciiTheme="minorEastAsia" w:hAnsiTheme="minor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both"/>
              <w:rPr>
                <w:rFonts w:hint="eastAsia" w:asciiTheme="minorEastAsia" w:hAnsiTheme="minorEastAsia" w:eastAsiaTheme="minorEastAsia"/>
                <w:lang w:val="en-US" w:eastAsia="zh-CN"/>
              </w:rPr>
            </w:pPr>
          </w:p>
        </w:tc>
        <w:tc>
          <w:tcPr>
            <w:tcW w:w="1470" w:type="dxa"/>
          </w:tcPr>
          <w:p>
            <w:pPr>
              <w:jc w:val="both"/>
              <w:rPr>
                <w:rFonts w:hint="eastAsia" w:asciiTheme="minorEastAsia" w:hAnsiTheme="minorEastAsia" w:eastAsiaTheme="minorEastAsia"/>
                <w:lang w:val="en-US" w:eastAsia="zh-CN"/>
              </w:rPr>
            </w:pPr>
          </w:p>
        </w:tc>
        <w:tc>
          <w:tcPr>
            <w:tcW w:w="837" w:type="dxa"/>
          </w:tcPr>
          <w:p>
            <w:pPr>
              <w:jc w:val="both"/>
              <w:rPr>
                <w:rFonts w:hint="eastAsia" w:asciiTheme="minorEastAsia" w:hAnsiTheme="minorEastAsia" w:eastAsiaTheme="minorEastAsia"/>
                <w:lang w:val="en-US" w:eastAsia="zh-CN"/>
              </w:rPr>
            </w:pPr>
          </w:p>
        </w:tc>
        <w:tc>
          <w:tcPr>
            <w:tcW w:w="1274" w:type="dxa"/>
          </w:tcPr>
          <w:p>
            <w:pPr>
              <w:jc w:val="both"/>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774" w:type="dxa"/>
          </w:tcPr>
          <w:p>
            <w:pPr>
              <w:jc w:val="both"/>
              <w:rPr>
                <w:rFonts w:hint="eastAsia" w:asciiTheme="minorEastAsia" w:hAnsiTheme="minor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both"/>
              <w:rPr>
                <w:rFonts w:hint="eastAsia" w:asciiTheme="minorEastAsia" w:hAnsiTheme="minorEastAsia" w:eastAsiaTheme="minorEastAsia"/>
                <w:lang w:val="en-US" w:eastAsia="zh-CN"/>
              </w:rPr>
            </w:pPr>
          </w:p>
        </w:tc>
        <w:tc>
          <w:tcPr>
            <w:tcW w:w="1470"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税费</w:t>
            </w:r>
          </w:p>
        </w:tc>
        <w:tc>
          <w:tcPr>
            <w:tcW w:w="837" w:type="dxa"/>
          </w:tcPr>
          <w:p>
            <w:pPr>
              <w:jc w:val="both"/>
              <w:rPr>
                <w:rFonts w:hint="eastAsia" w:asciiTheme="minorEastAsia" w:hAnsiTheme="minorEastAsia" w:eastAsiaTheme="minorEastAsia"/>
                <w:lang w:val="en-US" w:eastAsia="zh-CN"/>
              </w:rPr>
            </w:pPr>
          </w:p>
        </w:tc>
        <w:tc>
          <w:tcPr>
            <w:tcW w:w="1274" w:type="dxa"/>
          </w:tcPr>
          <w:p>
            <w:pPr>
              <w:jc w:val="both"/>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774" w:type="dxa"/>
          </w:tcPr>
          <w:p>
            <w:pPr>
              <w:jc w:val="both"/>
              <w:rPr>
                <w:rFonts w:hint="eastAsia" w:asciiTheme="minorEastAsia" w:hAnsiTheme="minor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both"/>
              <w:rPr>
                <w:rFonts w:hint="eastAsia" w:asciiTheme="minorEastAsia" w:hAnsiTheme="minorEastAsia" w:eastAsiaTheme="minorEastAsia"/>
                <w:lang w:val="en-US" w:eastAsia="zh-CN"/>
              </w:rPr>
            </w:pPr>
          </w:p>
        </w:tc>
        <w:tc>
          <w:tcPr>
            <w:tcW w:w="1470" w:type="dxa"/>
          </w:tcPr>
          <w:p>
            <w:pPr>
              <w:jc w:val="both"/>
              <w:rPr>
                <w:rFonts w:hint="eastAsia" w:asciiTheme="minorEastAsia" w:hAnsiTheme="minorEastAsia" w:eastAsiaTheme="minorEastAsia"/>
                <w:lang w:val="en-US" w:eastAsia="zh-CN"/>
              </w:rPr>
            </w:pPr>
          </w:p>
        </w:tc>
        <w:tc>
          <w:tcPr>
            <w:tcW w:w="837" w:type="dxa"/>
          </w:tcPr>
          <w:p>
            <w:pPr>
              <w:jc w:val="both"/>
              <w:rPr>
                <w:rFonts w:hint="eastAsia" w:asciiTheme="minorEastAsia" w:hAnsiTheme="minorEastAsia" w:eastAsiaTheme="minorEastAsia"/>
                <w:lang w:val="en-US" w:eastAsia="zh-CN"/>
              </w:rPr>
            </w:pPr>
          </w:p>
        </w:tc>
        <w:tc>
          <w:tcPr>
            <w:tcW w:w="1274" w:type="dxa"/>
          </w:tcPr>
          <w:p>
            <w:pPr>
              <w:jc w:val="both"/>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27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合计</w:t>
            </w:r>
          </w:p>
        </w:tc>
        <w:tc>
          <w:tcPr>
            <w:tcW w:w="1774"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r>
    </w:tbl>
    <w:p>
      <w:pPr>
        <w:keepNext/>
        <w:keepLines/>
        <w:spacing w:before="260" w:after="260" w:line="360" w:lineRule="auto"/>
        <w:outlineLvl w:val="1"/>
        <w:rPr>
          <w:rFonts w:cs="Arial" w:asciiTheme="minorEastAsia" w:hAnsiTheme="minorEastAsia" w:eastAsiaTheme="minorEastAsia"/>
          <w:b/>
          <w:bCs/>
          <w:w w:val="90"/>
          <w:lang w:eastAsia="zh-CN"/>
        </w:rPr>
      </w:pPr>
      <w:r>
        <w:rPr>
          <w:rFonts w:hint="eastAsia" w:cs="Arial" w:asciiTheme="minorEastAsia" w:hAnsiTheme="minorEastAsia" w:eastAsiaTheme="minorEastAsia"/>
          <w:b/>
          <w:bCs/>
          <w:w w:val="90"/>
          <w:lang w:eastAsia="zh-CN"/>
        </w:rPr>
        <w:br w:type="page"/>
      </w:r>
    </w:p>
    <w:p>
      <w:pPr>
        <w:keepNext/>
        <w:keepLines/>
        <w:spacing w:before="260" w:after="260" w:line="360" w:lineRule="auto"/>
        <w:outlineLvl w:val="1"/>
        <w:rPr>
          <w:rFonts w:cs="Arial" w:asciiTheme="minorEastAsia" w:hAnsiTheme="minorEastAsia" w:eastAsiaTheme="minorEastAsia"/>
          <w:b/>
          <w:bCs/>
          <w:w w:val="90"/>
          <w:lang w:eastAsia="zh-CN"/>
        </w:rPr>
      </w:pPr>
      <w:bookmarkStart w:id="222" w:name="_Toc30332"/>
      <w:r>
        <w:rPr>
          <w:rFonts w:hint="eastAsia" w:cs="Arial" w:asciiTheme="minorEastAsia" w:hAnsiTheme="minorEastAsia" w:eastAsiaTheme="minorEastAsia"/>
          <w:b/>
          <w:bCs/>
          <w:w w:val="90"/>
          <w:lang w:eastAsia="zh-CN"/>
        </w:rPr>
        <w:t>3、法定代表人授权书格式</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spacing w:line="360" w:lineRule="auto"/>
        <w:rPr>
          <w:rFonts w:asciiTheme="minorEastAsia" w:hAnsiTheme="minorEastAsia" w:eastAsiaTheme="minorEastAsia"/>
          <w:lang w:eastAsia="zh-CN"/>
        </w:rPr>
      </w:pPr>
    </w:p>
    <w:p>
      <w:pPr>
        <w:spacing w:line="360" w:lineRule="auto"/>
        <w:jc w:val="center"/>
        <w:rPr>
          <w:rFonts w:asciiTheme="minorEastAsia" w:hAnsiTheme="minorEastAsia" w:eastAsiaTheme="minorEastAsia"/>
          <w:b/>
          <w:bCs/>
          <w:lang w:eastAsia="zh-CN"/>
        </w:rPr>
      </w:pPr>
      <w:r>
        <w:rPr>
          <w:rFonts w:hint="eastAsia" w:asciiTheme="minorEastAsia" w:hAnsiTheme="minorEastAsia" w:eastAsiaTheme="minorEastAsia"/>
          <w:b/>
          <w:bCs/>
          <w:lang w:eastAsia="zh-CN"/>
        </w:rPr>
        <w:t>法定代表人授权书</w:t>
      </w:r>
    </w:p>
    <w:p>
      <w:pPr>
        <w:spacing w:line="360" w:lineRule="auto"/>
        <w:rPr>
          <w:rFonts w:asciiTheme="minorEastAsia" w:hAnsiTheme="minorEastAsia" w:eastAsiaTheme="minorEastAsia"/>
          <w:lang w:eastAsia="zh-CN"/>
        </w:rPr>
      </w:pPr>
    </w:p>
    <w:p>
      <w:pPr>
        <w:spacing w:line="360" w:lineRule="auto"/>
        <w:ind w:firstLine="435"/>
        <w:rPr>
          <w:rFonts w:asciiTheme="minorEastAsia" w:hAnsiTheme="minorEastAsia" w:eastAsiaTheme="minorEastAsia"/>
          <w:lang w:eastAsia="zh-CN"/>
        </w:rPr>
      </w:pPr>
      <w:r>
        <w:rPr>
          <w:rFonts w:hint="eastAsia" w:asciiTheme="minorEastAsia" w:hAnsiTheme="minorEastAsia" w:eastAsiaTheme="minorEastAsia"/>
          <w:lang w:eastAsia="zh-CN"/>
        </w:rPr>
        <w:t>本授权书声明：注册于中华人民共和国的</w:t>
      </w:r>
      <w:r>
        <w:rPr>
          <w:rFonts w:hint="eastAsia" w:asciiTheme="minorEastAsia" w:hAnsiTheme="minorEastAsia" w:eastAsiaTheme="minorEastAsia"/>
          <w:u w:val="single"/>
          <w:lang w:eastAsia="zh-CN"/>
        </w:rPr>
        <w:t>（投标人名称）</w:t>
      </w:r>
      <w:r>
        <w:rPr>
          <w:rFonts w:hint="eastAsia" w:asciiTheme="minorEastAsia" w:hAnsiTheme="minorEastAsia" w:eastAsiaTheme="minorEastAsia"/>
          <w:lang w:eastAsia="zh-CN"/>
        </w:rPr>
        <w:t>的在下面签字的</w:t>
      </w:r>
      <w:r>
        <w:rPr>
          <w:rFonts w:hint="eastAsia" w:asciiTheme="minorEastAsia" w:hAnsiTheme="minorEastAsia" w:eastAsiaTheme="minorEastAsia"/>
          <w:u w:val="single"/>
          <w:lang w:eastAsia="zh-CN"/>
        </w:rPr>
        <w:t>（法定代表人姓名、职务）</w:t>
      </w:r>
      <w:r>
        <w:rPr>
          <w:rFonts w:hint="eastAsia" w:asciiTheme="minorEastAsia" w:hAnsiTheme="minorEastAsia" w:eastAsiaTheme="minorEastAsia"/>
          <w:lang w:eastAsia="zh-CN"/>
        </w:rPr>
        <w:t>代表本公司授权的在下面签字的</w:t>
      </w:r>
      <w:r>
        <w:rPr>
          <w:rFonts w:hint="eastAsia" w:asciiTheme="minorEastAsia" w:hAnsiTheme="minorEastAsia" w:eastAsiaTheme="minorEastAsia"/>
          <w:u w:val="single"/>
          <w:lang w:eastAsia="zh-CN"/>
        </w:rPr>
        <w:t>（被授权人的姓名、职务）</w:t>
      </w:r>
      <w:r>
        <w:rPr>
          <w:rFonts w:hint="eastAsia" w:asciiTheme="minorEastAsia" w:hAnsiTheme="minorEastAsia" w:eastAsiaTheme="minorEastAsia"/>
          <w:lang w:eastAsia="zh-CN"/>
        </w:rPr>
        <w:t>为本公司的合法代理人，就招标编号为的</w:t>
      </w:r>
      <w:r>
        <w:rPr>
          <w:rFonts w:asciiTheme="minorEastAsia" w:hAnsiTheme="minorEastAsia" w:eastAsiaTheme="minorEastAsia"/>
          <w:lang w:eastAsia="zh-CN"/>
        </w:rPr>
        <w:t>(</w:t>
      </w:r>
      <w:r>
        <w:rPr>
          <w:rFonts w:hint="eastAsia" w:asciiTheme="minorEastAsia" w:hAnsiTheme="minorEastAsia" w:eastAsiaTheme="minorEastAsia"/>
          <w:u w:val="single"/>
          <w:lang w:eastAsia="zh-CN"/>
        </w:rPr>
        <w:t>招标货物名称</w:t>
      </w:r>
      <w:r>
        <w:rPr>
          <w:rFonts w:asciiTheme="minorEastAsia" w:hAnsiTheme="minorEastAsia" w:eastAsiaTheme="minorEastAsia"/>
          <w:u w:val="single"/>
          <w:lang w:eastAsia="zh-CN"/>
        </w:rPr>
        <w:t>)</w:t>
      </w:r>
      <w:r>
        <w:rPr>
          <w:rFonts w:hint="eastAsia" w:asciiTheme="minorEastAsia" w:hAnsiTheme="minorEastAsia" w:eastAsiaTheme="minorEastAsia"/>
          <w:lang w:eastAsia="zh-CN"/>
        </w:rPr>
        <w:t>的投标，以本公司名义处理一切与之有关的事务。</w:t>
      </w:r>
    </w:p>
    <w:p>
      <w:pPr>
        <w:spacing w:line="360" w:lineRule="auto"/>
        <w:ind w:firstLine="435"/>
        <w:rPr>
          <w:rFonts w:asciiTheme="minorEastAsia" w:hAnsiTheme="minorEastAsia" w:eastAsiaTheme="minorEastAsia"/>
          <w:lang w:eastAsia="zh-CN"/>
        </w:rPr>
      </w:pPr>
      <w:r>
        <w:rPr>
          <w:rFonts w:hint="eastAsia" w:asciiTheme="minorEastAsia" w:hAnsiTheme="minorEastAsia" w:eastAsiaTheme="minorEastAsia"/>
          <w:lang w:eastAsia="zh-CN"/>
        </w:rPr>
        <w:t>本授权书于年月日签字生效，特此声明。</w:t>
      </w:r>
    </w:p>
    <w:p>
      <w:pPr>
        <w:spacing w:line="360" w:lineRule="auto"/>
        <w:ind w:firstLine="435"/>
        <w:rPr>
          <w:rFonts w:asciiTheme="minorEastAsia" w:hAnsiTheme="minorEastAsia" w:eastAsiaTheme="minorEastAsia"/>
          <w:lang w:eastAsia="zh-CN"/>
        </w:rPr>
      </w:pPr>
    </w:p>
    <w:p>
      <w:pPr>
        <w:spacing w:line="360" w:lineRule="auto"/>
        <w:ind w:firstLine="435"/>
        <w:rPr>
          <w:rFonts w:asciiTheme="minorEastAsia" w:hAnsiTheme="minorEastAsia" w:eastAsiaTheme="minorEastAsia"/>
          <w:lang w:eastAsia="zh-CN"/>
        </w:rPr>
      </w:pPr>
    </w:p>
    <w:p>
      <w:pPr>
        <w:spacing w:line="360" w:lineRule="auto"/>
        <w:ind w:firstLine="435"/>
        <w:rPr>
          <w:rFonts w:asciiTheme="minorEastAsia" w:hAnsiTheme="minorEastAsia" w:eastAsiaTheme="minorEastAsia"/>
          <w:lang w:eastAsia="zh-CN"/>
        </w:rPr>
      </w:pPr>
    </w:p>
    <w:p>
      <w:pPr>
        <w:spacing w:line="360" w:lineRule="auto"/>
        <w:ind w:firstLine="435"/>
        <w:rPr>
          <w:rFonts w:asciiTheme="minorEastAsia" w:hAnsiTheme="minorEastAsia" w:eastAsiaTheme="minorEastAsia"/>
          <w:lang w:eastAsia="zh-CN"/>
        </w:rPr>
      </w:pPr>
    </w:p>
    <w:p>
      <w:pPr>
        <w:spacing w:line="360" w:lineRule="auto"/>
        <w:ind w:firstLine="435"/>
        <w:rPr>
          <w:rFonts w:asciiTheme="minorEastAsia" w:hAnsiTheme="minorEastAsia" w:eastAsiaTheme="minorEastAsia"/>
          <w:lang w:eastAsia="zh-CN"/>
        </w:rPr>
      </w:pPr>
    </w:p>
    <w:p>
      <w:pPr>
        <w:spacing w:line="360" w:lineRule="auto"/>
        <w:ind w:firstLine="435"/>
        <w:rPr>
          <w:rFonts w:asciiTheme="minorEastAsia" w:hAnsiTheme="minorEastAsia" w:eastAsiaTheme="minorEastAsia"/>
          <w:lang w:eastAsia="zh-CN"/>
        </w:rPr>
      </w:pPr>
    </w:p>
    <w:p>
      <w:pPr>
        <w:spacing w:line="360" w:lineRule="auto"/>
        <w:ind w:firstLine="435"/>
        <w:rPr>
          <w:rFonts w:asciiTheme="minorEastAsia" w:hAnsiTheme="minorEastAsia" w:eastAsiaTheme="minorEastAsia"/>
          <w:u w:val="single"/>
          <w:lang w:eastAsia="zh-CN"/>
        </w:rPr>
      </w:pPr>
      <w:r>
        <w:rPr>
          <w:rFonts w:hint="eastAsia" w:asciiTheme="minorEastAsia" w:hAnsiTheme="minorEastAsia" w:eastAsiaTheme="minorEastAsia"/>
          <w:lang w:eastAsia="zh-CN"/>
        </w:rPr>
        <w:t>法定代表人签字</w:t>
      </w:r>
    </w:p>
    <w:p>
      <w:pPr>
        <w:spacing w:line="360" w:lineRule="auto"/>
        <w:ind w:firstLine="435"/>
        <w:rPr>
          <w:rFonts w:asciiTheme="minorEastAsia" w:hAnsiTheme="minorEastAsia" w:eastAsiaTheme="minorEastAsia"/>
          <w:u w:val="single"/>
          <w:lang w:eastAsia="zh-CN"/>
        </w:rPr>
      </w:pPr>
      <w:r>
        <w:rPr>
          <w:rFonts w:hint="eastAsia" w:asciiTheme="minorEastAsia" w:hAnsiTheme="minorEastAsia" w:eastAsiaTheme="minorEastAsia"/>
          <w:lang w:eastAsia="zh-CN"/>
        </w:rPr>
        <w:t>被授权人签字</w:t>
      </w:r>
    </w:p>
    <w:p>
      <w:pPr>
        <w:spacing w:line="360" w:lineRule="auto"/>
        <w:ind w:firstLine="435"/>
        <w:rPr>
          <w:rFonts w:asciiTheme="minorEastAsia" w:hAnsiTheme="minorEastAsia" w:eastAsiaTheme="minorEastAsia"/>
          <w:u w:val="single"/>
          <w:lang w:eastAsia="zh-CN"/>
        </w:rPr>
      </w:pPr>
      <w:r>
        <w:rPr>
          <w:rFonts w:hint="eastAsia" w:asciiTheme="minorEastAsia" w:hAnsiTheme="minorEastAsia" w:eastAsiaTheme="minorEastAsia"/>
          <w:lang w:eastAsia="zh-CN"/>
        </w:rPr>
        <w:t>投标人公章</w:t>
      </w:r>
    </w:p>
    <w:p>
      <w:pPr>
        <w:spacing w:line="360" w:lineRule="auto"/>
        <w:rPr>
          <w:rFonts w:asciiTheme="minorEastAsia" w:hAnsiTheme="minorEastAsia" w:eastAsiaTheme="minorEastAsia"/>
          <w:b/>
          <w:bCs/>
          <w:lang w:eastAsia="zh-CN"/>
        </w:rPr>
      </w:pPr>
      <w:r>
        <w:rPr>
          <w:rFonts w:asciiTheme="minorEastAsia" w:hAnsiTheme="minorEastAsia" w:eastAsiaTheme="minorEastAsia"/>
          <w:b/>
          <w:bCs/>
          <w:lang w:eastAsia="zh-CN"/>
        </w:rPr>
        <w:br w:type="page"/>
      </w:r>
    </w:p>
    <w:p>
      <w:pPr>
        <w:keepNext/>
        <w:keepLines/>
        <w:spacing w:before="260" w:after="260" w:line="360" w:lineRule="auto"/>
        <w:outlineLvl w:val="1"/>
        <w:rPr>
          <w:rFonts w:cs="Arial" w:asciiTheme="minorEastAsia" w:hAnsiTheme="minorEastAsia" w:eastAsiaTheme="minorEastAsia"/>
          <w:b/>
          <w:bCs/>
          <w:w w:val="90"/>
          <w:lang w:eastAsia="zh-CN"/>
        </w:rPr>
      </w:pPr>
      <w:bookmarkStart w:id="223" w:name="_Toc47261886"/>
      <w:bookmarkStart w:id="224" w:name="_Toc47418939"/>
      <w:bookmarkStart w:id="225" w:name="_Toc324152533"/>
      <w:bookmarkStart w:id="226" w:name="_Toc465350710"/>
      <w:bookmarkStart w:id="227" w:name="_Toc49019237"/>
      <w:bookmarkStart w:id="228" w:name="_Toc47261691"/>
      <w:bookmarkStart w:id="229" w:name="_Toc47418256"/>
      <w:bookmarkStart w:id="230" w:name="_Toc47418732"/>
      <w:bookmarkStart w:id="231" w:name="_Toc11980"/>
      <w:bookmarkStart w:id="232" w:name="_Toc48995852"/>
      <w:bookmarkStart w:id="233" w:name="_Toc411245424"/>
      <w:bookmarkStart w:id="234" w:name="_Toc236555310"/>
      <w:bookmarkStart w:id="235" w:name="_Toc48791236"/>
      <w:bookmarkStart w:id="236" w:name="_Toc99466922"/>
      <w:bookmarkStart w:id="237" w:name="_Toc47262070"/>
      <w:r>
        <w:rPr>
          <w:rFonts w:hint="eastAsia" w:cs="Arial" w:asciiTheme="minorEastAsia" w:hAnsiTheme="minorEastAsia" w:eastAsiaTheme="minorEastAsia"/>
          <w:b/>
          <w:bCs/>
          <w:w w:val="90"/>
          <w:lang w:eastAsia="zh-CN"/>
        </w:rPr>
        <w:t>4、资格证明文件格式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目录：</w:t>
      </w:r>
    </w:p>
    <w:p>
      <w:pPr>
        <w:adjustRightInd w:val="0"/>
        <w:snapToGrid w:val="0"/>
        <w:spacing w:line="360" w:lineRule="auto"/>
        <w:rPr>
          <w:rFonts w:hint="eastAsia" w:ascii="宋体" w:hAnsi="宋体" w:cs="宋体"/>
          <w:szCs w:val="21"/>
        </w:rPr>
      </w:pPr>
      <w:r>
        <w:rPr>
          <w:rFonts w:hint="eastAsia" w:ascii="宋体" w:hAnsi="宋体" w:cs="宋体"/>
          <w:szCs w:val="21"/>
          <w:lang w:val="en-US" w:eastAsia="zh-CN"/>
        </w:rPr>
        <w:t>4.1</w:t>
      </w:r>
      <w:r>
        <w:rPr>
          <w:rFonts w:hint="eastAsia" w:ascii="宋体" w:hAnsi="宋体" w:cs="宋体"/>
          <w:szCs w:val="21"/>
        </w:rPr>
        <w:t>投标函。</w:t>
      </w:r>
    </w:p>
    <w:p>
      <w:pPr>
        <w:adjustRightInd w:val="0"/>
        <w:snapToGrid w:val="0"/>
        <w:spacing w:line="360" w:lineRule="auto"/>
        <w:rPr>
          <w:rFonts w:hint="eastAsia" w:ascii="宋体" w:hAnsi="宋体" w:cs="宋体"/>
          <w:szCs w:val="21"/>
        </w:rPr>
      </w:pPr>
      <w:r>
        <w:rPr>
          <w:rFonts w:hint="eastAsia" w:ascii="宋体" w:hAnsi="宋体" w:cs="宋体"/>
          <w:szCs w:val="21"/>
          <w:lang w:val="en-US" w:eastAsia="zh-CN"/>
        </w:rPr>
        <w:t>4.2</w:t>
      </w:r>
      <w:r>
        <w:rPr>
          <w:rFonts w:hint="eastAsia" w:ascii="宋体" w:hAnsi="宋体" w:cs="宋体"/>
          <w:szCs w:val="21"/>
        </w:rPr>
        <w:t>单位负责人授权书（法定代表人和投标代表人身份证复印件）。</w:t>
      </w:r>
    </w:p>
    <w:p>
      <w:pPr>
        <w:adjustRightInd w:val="0"/>
        <w:snapToGrid w:val="0"/>
        <w:spacing w:line="360" w:lineRule="auto"/>
        <w:rPr>
          <w:rFonts w:hint="eastAsia" w:ascii="宋体" w:hAnsi="宋体" w:cs="宋体"/>
          <w:szCs w:val="21"/>
        </w:rPr>
      </w:pPr>
      <w:r>
        <w:rPr>
          <w:rFonts w:hint="eastAsia" w:ascii="宋体" w:hAnsi="宋体" w:cs="宋体"/>
          <w:szCs w:val="21"/>
          <w:lang w:val="en-US" w:eastAsia="zh-CN"/>
        </w:rPr>
        <w:t>4.3</w:t>
      </w:r>
      <w:r>
        <w:rPr>
          <w:rFonts w:hint="eastAsia" w:ascii="宋体" w:hAnsi="宋体" w:cs="宋体"/>
          <w:szCs w:val="21"/>
        </w:rPr>
        <w:t>法人或者其他组织的营业执照等证明文件，自然人的身份证明。</w:t>
      </w:r>
    </w:p>
    <w:p>
      <w:pPr>
        <w:adjustRightInd w:val="0"/>
        <w:snapToGrid w:val="0"/>
        <w:spacing w:line="360" w:lineRule="auto"/>
        <w:rPr>
          <w:rFonts w:hint="eastAsia" w:ascii="宋体" w:hAnsi="宋体" w:cs="宋体"/>
          <w:szCs w:val="21"/>
        </w:rPr>
      </w:pPr>
      <w:r>
        <w:rPr>
          <w:rFonts w:hint="eastAsia" w:ascii="宋体" w:hAnsi="宋体" w:cs="宋体"/>
          <w:szCs w:val="21"/>
          <w:lang w:val="en-US" w:eastAsia="zh-CN"/>
        </w:rPr>
        <w:t>4.4</w:t>
      </w:r>
      <w:r>
        <w:rPr>
          <w:rFonts w:hint="eastAsia" w:ascii="宋体" w:hAnsi="宋体" w:cs="宋体"/>
          <w:szCs w:val="21"/>
        </w:rPr>
        <w:t>上一年度或上一季度财务报告</w:t>
      </w:r>
    </w:p>
    <w:p>
      <w:pPr>
        <w:adjustRightInd w:val="0"/>
        <w:snapToGrid w:val="0"/>
        <w:spacing w:line="360" w:lineRule="auto"/>
        <w:rPr>
          <w:rFonts w:hint="eastAsia" w:ascii="宋体" w:hAnsi="宋体" w:cs="宋体"/>
          <w:szCs w:val="21"/>
        </w:rPr>
      </w:pPr>
      <w:r>
        <w:rPr>
          <w:rFonts w:hint="eastAsia" w:ascii="宋体" w:hAnsi="宋体" w:cs="宋体"/>
          <w:szCs w:val="21"/>
          <w:lang w:val="en-US" w:eastAsia="zh-CN"/>
        </w:rPr>
        <w:t>4.5</w:t>
      </w:r>
      <w:r>
        <w:rPr>
          <w:rFonts w:hint="eastAsia" w:ascii="宋体" w:hAnsi="宋体" w:cs="宋体"/>
          <w:szCs w:val="21"/>
        </w:rPr>
        <w:t>投标截止时间前六个月任一个月的依法缴纳税收的凭据</w:t>
      </w:r>
    </w:p>
    <w:p>
      <w:pPr>
        <w:adjustRightInd w:val="0"/>
        <w:snapToGrid w:val="0"/>
        <w:spacing w:line="360" w:lineRule="auto"/>
        <w:rPr>
          <w:rFonts w:hint="eastAsia" w:ascii="宋体" w:hAnsi="宋体" w:cs="宋体"/>
          <w:szCs w:val="21"/>
        </w:rPr>
      </w:pPr>
      <w:r>
        <w:rPr>
          <w:rFonts w:hint="eastAsia" w:ascii="宋体" w:hAnsi="宋体" w:cs="宋体"/>
          <w:szCs w:val="21"/>
          <w:lang w:val="en-US" w:eastAsia="zh-CN"/>
        </w:rPr>
        <w:t>4.6</w:t>
      </w:r>
      <w:r>
        <w:rPr>
          <w:rFonts w:hint="eastAsia" w:ascii="宋体" w:hAnsi="宋体" w:cs="宋体"/>
          <w:szCs w:val="21"/>
        </w:rPr>
        <w:t>提投标截止时间前六个月任一个月的依法缴纳社会保障资金的凭据</w:t>
      </w:r>
    </w:p>
    <w:p>
      <w:pPr>
        <w:adjustRightInd w:val="0"/>
        <w:snapToGrid w:val="0"/>
        <w:spacing w:line="360" w:lineRule="auto"/>
        <w:rPr>
          <w:rFonts w:ascii="宋体" w:hAnsi="宋体" w:cs="宋体"/>
          <w:szCs w:val="21"/>
        </w:rPr>
      </w:pPr>
      <w:r>
        <w:rPr>
          <w:rFonts w:hint="eastAsia" w:ascii="宋体" w:hAnsi="宋体" w:cs="宋体"/>
          <w:szCs w:val="21"/>
          <w:lang w:val="en-US" w:eastAsia="zh-CN"/>
        </w:rPr>
        <w:t>4.7</w:t>
      </w:r>
      <w:r>
        <w:rPr>
          <w:rFonts w:hint="eastAsia" w:ascii="宋体" w:hAnsi="宋体" w:cs="宋体"/>
          <w:szCs w:val="21"/>
        </w:rPr>
        <w:t xml:space="preserve"> 2019年至今已完成单场</w:t>
      </w:r>
      <w:r>
        <w:rPr>
          <w:rFonts w:hint="eastAsia" w:ascii="宋体" w:hAnsi="宋体" w:cs="宋体"/>
          <w:szCs w:val="21"/>
          <w:lang w:val="en-US" w:eastAsia="zh-CN"/>
        </w:rPr>
        <w:t>5</w:t>
      </w:r>
      <w:r>
        <w:rPr>
          <w:rFonts w:hint="eastAsia" w:ascii="宋体" w:hAnsi="宋体" w:cs="宋体"/>
          <w:szCs w:val="21"/>
        </w:rPr>
        <w:t>万平米及以上展览面积的展会项目经验</w:t>
      </w:r>
      <w:r>
        <w:rPr>
          <w:rFonts w:hint="eastAsia" w:ascii="宋体" w:hAnsi="宋体" w:cs="宋体"/>
          <w:szCs w:val="21"/>
          <w:lang w:val="en-US" w:eastAsia="zh-CN"/>
        </w:rPr>
        <w:t>佐证</w:t>
      </w:r>
      <w:r>
        <w:rPr>
          <w:rFonts w:hint="eastAsia" w:ascii="宋体" w:hAnsi="宋体" w:cs="宋体"/>
          <w:szCs w:val="21"/>
        </w:rPr>
        <w:t>。</w:t>
      </w:r>
    </w:p>
    <w:p>
      <w:pPr>
        <w:spacing w:line="360" w:lineRule="auto"/>
        <w:rPr>
          <w:rFonts w:asciiTheme="minorEastAsia" w:hAnsiTheme="minorEastAsia" w:eastAsiaTheme="minorEastAsia"/>
          <w:lang w:eastAsia="zh-CN"/>
        </w:rPr>
      </w:pPr>
    </w:p>
    <w:p>
      <w:pPr>
        <w:spacing w:line="360" w:lineRule="auto"/>
        <w:ind w:firstLine="435"/>
        <w:rPr>
          <w:rFonts w:cs="Arial" w:asciiTheme="minorEastAsia" w:hAnsiTheme="minorEastAsia" w:eastAsiaTheme="minorEastAsia"/>
          <w:b/>
          <w:bCs/>
          <w:w w:val="90"/>
          <w:lang w:eastAsia="zh-CN"/>
        </w:rPr>
      </w:pPr>
      <w:r>
        <w:rPr>
          <w:rFonts w:asciiTheme="minorEastAsia" w:hAnsiTheme="minorEastAsia" w:eastAsiaTheme="minorEastAsia"/>
          <w:b/>
          <w:bCs/>
          <w:lang w:eastAsia="zh-CN"/>
        </w:rPr>
        <w:br w:type="page"/>
      </w:r>
      <w:bookmarkStart w:id="238" w:name="_Toc236555311"/>
    </w:p>
    <w:p>
      <w:pPr>
        <w:keepNext/>
        <w:keepLines/>
        <w:spacing w:before="260" w:after="260" w:line="360" w:lineRule="auto"/>
        <w:outlineLvl w:val="1"/>
        <w:rPr>
          <w:rFonts w:cs="Arial" w:asciiTheme="minorEastAsia" w:hAnsiTheme="minorEastAsia" w:eastAsiaTheme="minorEastAsia"/>
          <w:b/>
          <w:bCs/>
          <w:w w:val="90"/>
          <w:lang w:eastAsia="zh-CN"/>
        </w:rPr>
      </w:pPr>
      <w:bookmarkStart w:id="239" w:name="_Toc411245425"/>
      <w:bookmarkStart w:id="240" w:name="_Toc465350711"/>
      <w:bookmarkStart w:id="241" w:name="_Toc1349"/>
      <w:r>
        <w:rPr>
          <w:rFonts w:hint="eastAsia" w:cs="Arial" w:asciiTheme="minorEastAsia" w:hAnsiTheme="minorEastAsia" w:eastAsiaTheme="minorEastAsia"/>
          <w:b/>
          <w:bCs/>
          <w:w w:val="90"/>
          <w:lang w:eastAsia="zh-CN"/>
        </w:rPr>
        <w:t>5、投标人基本情况信息表</w:t>
      </w:r>
      <w:bookmarkEnd w:id="238"/>
      <w:bookmarkEnd w:id="239"/>
      <w:bookmarkEnd w:id="240"/>
      <w:bookmarkEnd w:id="241"/>
    </w:p>
    <w:tbl>
      <w:tblPr>
        <w:tblStyle w:val="37"/>
        <w:tblW w:w="8923"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575"/>
        <w:gridCol w:w="236"/>
        <w:gridCol w:w="2966"/>
        <w:gridCol w:w="236"/>
        <w:gridCol w:w="1248"/>
        <w:gridCol w:w="236"/>
        <w:gridCol w:w="242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575" w:type="dxa"/>
            <w:tcBorders>
              <w:top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企业名称</w:t>
            </w:r>
          </w:p>
        </w:tc>
        <w:tc>
          <w:tcPr>
            <w:tcW w:w="343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p>
        </w:tc>
        <w:tc>
          <w:tcPr>
            <w:tcW w:w="148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成立日期</w:t>
            </w:r>
          </w:p>
        </w:tc>
        <w:tc>
          <w:tcPr>
            <w:tcW w:w="2426" w:type="dxa"/>
            <w:tcBorders>
              <w:top w:val="single" w:color="auto" w:sz="6" w:space="0"/>
              <w:left w:val="single" w:color="auto" w:sz="6" w:space="0"/>
              <w:bottom w:val="single" w:color="auto" w:sz="6" w:space="0"/>
            </w:tcBorders>
            <w:vAlign w:val="center"/>
          </w:tcPr>
          <w:p>
            <w:pPr>
              <w:jc w:val="cente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013" w:type="dxa"/>
            <w:gridSpan w:val="4"/>
            <w:tcBorders>
              <w:top w:val="single" w:color="auto" w:sz="6" w:space="0"/>
              <w:bottom w:val="single" w:color="auto" w:sz="6" w:space="0"/>
              <w:right w:val="single" w:color="auto" w:sz="6" w:space="0"/>
            </w:tcBorders>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企业法人营业执照注册号</w:t>
            </w:r>
          </w:p>
        </w:tc>
        <w:tc>
          <w:tcPr>
            <w:tcW w:w="3910" w:type="dxa"/>
            <w:gridSpan w:val="3"/>
            <w:tcBorders>
              <w:top w:val="single" w:color="auto" w:sz="6" w:space="0"/>
              <w:left w:val="single" w:color="auto" w:sz="6" w:space="0"/>
              <w:bottom w:val="single" w:color="auto" w:sz="6" w:space="0"/>
            </w:tcBorders>
            <w:vAlign w:val="center"/>
          </w:tcPr>
          <w:p>
            <w:pPr>
              <w:jc w:val="center"/>
              <w:rPr>
                <w:rFonts w:asciiTheme="minorEastAsia" w:hAnsiTheme="minorEastAsia" w:eastAsiaTheme="minorEastAsia"/>
                <w:lang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811" w:type="dxa"/>
            <w:gridSpan w:val="2"/>
            <w:tcBorders>
              <w:top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注册资本</w:t>
            </w:r>
          </w:p>
        </w:tc>
        <w:tc>
          <w:tcPr>
            <w:tcW w:w="320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p>
        </w:tc>
        <w:tc>
          <w:tcPr>
            <w:tcW w:w="148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企业类型</w:t>
            </w:r>
          </w:p>
        </w:tc>
        <w:tc>
          <w:tcPr>
            <w:tcW w:w="2426" w:type="dxa"/>
            <w:tcBorders>
              <w:top w:val="single" w:color="auto" w:sz="6" w:space="0"/>
              <w:left w:val="single" w:color="auto" w:sz="6" w:space="0"/>
              <w:bottom w:val="single" w:color="auto" w:sz="6" w:space="0"/>
            </w:tcBorders>
            <w:vAlign w:val="center"/>
          </w:tcPr>
          <w:p>
            <w:pPr>
              <w:jc w:val="cente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811" w:type="dxa"/>
            <w:gridSpan w:val="2"/>
            <w:tcBorders>
              <w:top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批准登记机关</w:t>
            </w:r>
          </w:p>
        </w:tc>
        <w:tc>
          <w:tcPr>
            <w:tcW w:w="320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p>
        </w:tc>
        <w:tc>
          <w:tcPr>
            <w:tcW w:w="148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组织代码</w:t>
            </w:r>
          </w:p>
        </w:tc>
        <w:tc>
          <w:tcPr>
            <w:tcW w:w="2426" w:type="dxa"/>
            <w:tcBorders>
              <w:top w:val="single" w:color="auto" w:sz="6" w:space="0"/>
              <w:left w:val="single" w:color="auto" w:sz="6" w:space="0"/>
              <w:bottom w:val="single" w:color="auto" w:sz="6" w:space="0"/>
            </w:tcBorders>
            <w:vAlign w:val="center"/>
          </w:tcPr>
          <w:p>
            <w:pPr>
              <w:jc w:val="cente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811" w:type="dxa"/>
            <w:gridSpan w:val="2"/>
            <w:tcBorders>
              <w:top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法定代表人</w:t>
            </w:r>
          </w:p>
        </w:tc>
        <w:tc>
          <w:tcPr>
            <w:tcW w:w="320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p>
        </w:tc>
        <w:tc>
          <w:tcPr>
            <w:tcW w:w="148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营业期限</w:t>
            </w:r>
          </w:p>
        </w:tc>
        <w:tc>
          <w:tcPr>
            <w:tcW w:w="2426" w:type="dxa"/>
            <w:tcBorders>
              <w:top w:val="single" w:color="auto" w:sz="6" w:space="0"/>
              <w:left w:val="single" w:color="auto" w:sz="6" w:space="0"/>
              <w:bottom w:val="single" w:color="auto" w:sz="6" w:space="0"/>
            </w:tcBorders>
            <w:vAlign w:val="center"/>
          </w:tcPr>
          <w:p>
            <w:pPr>
              <w:jc w:val="cente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811" w:type="dxa"/>
            <w:gridSpan w:val="2"/>
            <w:tcBorders>
              <w:top w:val="single" w:color="auto" w:sz="6" w:space="0"/>
              <w:bottom w:val="single" w:color="auto" w:sz="6" w:space="0"/>
              <w:right w:val="single" w:color="auto" w:sz="6" w:space="0"/>
            </w:tcBorders>
            <w:vAlign w:val="center"/>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相关资质</w:t>
            </w:r>
          </w:p>
        </w:tc>
        <w:tc>
          <w:tcPr>
            <w:tcW w:w="7112" w:type="dxa"/>
            <w:gridSpan w:val="5"/>
            <w:tcBorders>
              <w:top w:val="single" w:color="auto" w:sz="6" w:space="0"/>
              <w:left w:val="single" w:color="auto" w:sz="6" w:space="0"/>
              <w:bottom w:val="single" w:color="auto" w:sz="6" w:space="0"/>
            </w:tcBorders>
            <w:vAlign w:val="center"/>
          </w:tcPr>
          <w:p>
            <w:pPr>
              <w:jc w:val="cente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463" w:hRule="atLeast"/>
        </w:trPr>
        <w:tc>
          <w:tcPr>
            <w:tcW w:w="1811" w:type="dxa"/>
            <w:gridSpan w:val="2"/>
            <w:tcBorders>
              <w:top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主营业务</w:t>
            </w:r>
          </w:p>
        </w:tc>
        <w:tc>
          <w:tcPr>
            <w:tcW w:w="7112" w:type="dxa"/>
            <w:gridSpan w:val="5"/>
            <w:tcBorders>
              <w:top w:val="single" w:color="auto" w:sz="6" w:space="0"/>
              <w:left w:val="single" w:color="auto" w:sz="6" w:space="0"/>
              <w:bottom w:val="single" w:color="auto" w:sz="6" w:space="0"/>
            </w:tcBorders>
            <w:vAlign w:val="center"/>
          </w:tcPr>
          <w:p>
            <w:pP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811" w:type="dxa"/>
            <w:gridSpan w:val="2"/>
            <w:tcBorders>
              <w:top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地址</w:t>
            </w:r>
          </w:p>
        </w:tc>
        <w:tc>
          <w:tcPr>
            <w:tcW w:w="7112" w:type="dxa"/>
            <w:gridSpan w:val="5"/>
            <w:tcBorders>
              <w:top w:val="single" w:color="auto" w:sz="6" w:space="0"/>
              <w:left w:val="single" w:color="auto" w:sz="6" w:space="0"/>
              <w:bottom w:val="single" w:color="auto" w:sz="6" w:space="0"/>
            </w:tcBorders>
            <w:vAlign w:val="center"/>
          </w:tcPr>
          <w:p>
            <w:pP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811" w:type="dxa"/>
            <w:gridSpan w:val="2"/>
            <w:tcBorders>
              <w:top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开户银行</w:t>
            </w:r>
          </w:p>
        </w:tc>
        <w:tc>
          <w:tcPr>
            <w:tcW w:w="7112" w:type="dxa"/>
            <w:gridSpan w:val="5"/>
            <w:tcBorders>
              <w:top w:val="single" w:color="auto" w:sz="6" w:space="0"/>
              <w:left w:val="single" w:color="auto" w:sz="6" w:space="0"/>
              <w:bottom w:val="single" w:color="auto" w:sz="6" w:space="0"/>
            </w:tcBorders>
            <w:vAlign w:val="center"/>
          </w:tcPr>
          <w:p>
            <w:pP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811" w:type="dxa"/>
            <w:gridSpan w:val="2"/>
            <w:tcBorders>
              <w:top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开户行号</w:t>
            </w:r>
          </w:p>
        </w:tc>
        <w:tc>
          <w:tcPr>
            <w:tcW w:w="7112" w:type="dxa"/>
            <w:gridSpan w:val="5"/>
            <w:tcBorders>
              <w:top w:val="single" w:color="auto" w:sz="6" w:space="0"/>
              <w:left w:val="single" w:color="auto" w:sz="6" w:space="0"/>
              <w:bottom w:val="single" w:color="auto" w:sz="6" w:space="0"/>
            </w:tcBorders>
            <w:vAlign w:val="center"/>
          </w:tcPr>
          <w:p>
            <w:pP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811" w:type="dxa"/>
            <w:gridSpan w:val="2"/>
            <w:tcBorders>
              <w:top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银行账号</w:t>
            </w:r>
          </w:p>
        </w:tc>
        <w:tc>
          <w:tcPr>
            <w:tcW w:w="7112" w:type="dxa"/>
            <w:gridSpan w:val="5"/>
            <w:tcBorders>
              <w:top w:val="single" w:color="auto" w:sz="6" w:space="0"/>
              <w:left w:val="single" w:color="auto" w:sz="6" w:space="0"/>
              <w:bottom w:val="single" w:color="auto" w:sz="6" w:space="0"/>
            </w:tcBorders>
            <w:vAlign w:val="center"/>
          </w:tcPr>
          <w:p>
            <w:pP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811" w:type="dxa"/>
            <w:gridSpan w:val="2"/>
            <w:tcBorders>
              <w:top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电话</w:t>
            </w:r>
          </w:p>
        </w:tc>
        <w:tc>
          <w:tcPr>
            <w:tcW w:w="2966" w:type="dxa"/>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rPr>
            </w:pPr>
          </w:p>
        </w:tc>
        <w:tc>
          <w:tcPr>
            <w:tcW w:w="148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传真</w:t>
            </w:r>
          </w:p>
        </w:tc>
        <w:tc>
          <w:tcPr>
            <w:tcW w:w="2662" w:type="dxa"/>
            <w:gridSpan w:val="2"/>
            <w:tcBorders>
              <w:top w:val="single" w:color="auto" w:sz="6" w:space="0"/>
              <w:left w:val="single" w:color="auto" w:sz="6" w:space="0"/>
              <w:bottom w:val="single" w:color="auto" w:sz="6" w:space="0"/>
            </w:tcBorders>
            <w:vAlign w:val="center"/>
          </w:tcPr>
          <w:p>
            <w:pP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811" w:type="dxa"/>
            <w:gridSpan w:val="2"/>
            <w:tcBorders>
              <w:top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邮箱</w:t>
            </w:r>
          </w:p>
        </w:tc>
        <w:tc>
          <w:tcPr>
            <w:tcW w:w="2966" w:type="dxa"/>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rPr>
            </w:pPr>
          </w:p>
        </w:tc>
        <w:tc>
          <w:tcPr>
            <w:tcW w:w="148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邮编</w:t>
            </w:r>
          </w:p>
        </w:tc>
        <w:tc>
          <w:tcPr>
            <w:tcW w:w="2662" w:type="dxa"/>
            <w:gridSpan w:val="2"/>
            <w:tcBorders>
              <w:top w:val="single" w:color="auto" w:sz="6" w:space="0"/>
              <w:left w:val="single" w:color="auto" w:sz="6" w:space="0"/>
              <w:bottom w:val="single" w:color="auto" w:sz="6" w:space="0"/>
            </w:tcBorders>
            <w:vAlign w:val="center"/>
          </w:tcPr>
          <w:p>
            <w:pP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811" w:type="dxa"/>
            <w:gridSpan w:val="2"/>
            <w:tcBorders>
              <w:top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联系人</w:t>
            </w:r>
          </w:p>
        </w:tc>
        <w:tc>
          <w:tcPr>
            <w:tcW w:w="2966" w:type="dxa"/>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rPr>
            </w:pPr>
          </w:p>
        </w:tc>
        <w:tc>
          <w:tcPr>
            <w:tcW w:w="148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联系方式</w:t>
            </w:r>
          </w:p>
        </w:tc>
        <w:tc>
          <w:tcPr>
            <w:tcW w:w="2662" w:type="dxa"/>
            <w:gridSpan w:val="2"/>
            <w:tcBorders>
              <w:top w:val="single" w:color="auto" w:sz="6" w:space="0"/>
              <w:left w:val="single" w:color="auto" w:sz="6" w:space="0"/>
              <w:bottom w:val="single" w:color="auto" w:sz="6" w:space="0"/>
            </w:tcBorders>
            <w:vAlign w:val="center"/>
          </w:tcPr>
          <w:p>
            <w:pP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1575" w:type="dxa"/>
            <w:tcBorders>
              <w:top w:val="nil"/>
              <w:left w:val="nil"/>
              <w:bottom w:val="nil"/>
              <w:right w:val="nil"/>
            </w:tcBorders>
            <w:vAlign w:val="center"/>
          </w:tcPr>
          <w:p>
            <w:pPr>
              <w:rPr>
                <w:rFonts w:cs="宋体" w:asciiTheme="minorEastAsia" w:hAnsiTheme="minorEastAsia" w:eastAsiaTheme="minorEastAsia"/>
              </w:rPr>
            </w:pPr>
          </w:p>
        </w:tc>
        <w:tc>
          <w:tcPr>
            <w:tcW w:w="236" w:type="dxa"/>
            <w:tcBorders>
              <w:top w:val="nil"/>
              <w:left w:val="nil"/>
              <w:bottom w:val="nil"/>
              <w:right w:val="nil"/>
            </w:tcBorders>
            <w:vAlign w:val="center"/>
          </w:tcPr>
          <w:p>
            <w:pPr>
              <w:rPr>
                <w:rFonts w:cs="宋体" w:asciiTheme="minorEastAsia" w:hAnsiTheme="minorEastAsia" w:eastAsiaTheme="minorEastAsia"/>
              </w:rPr>
            </w:pPr>
          </w:p>
        </w:tc>
        <w:tc>
          <w:tcPr>
            <w:tcW w:w="2966" w:type="dxa"/>
            <w:tcBorders>
              <w:top w:val="nil"/>
              <w:left w:val="nil"/>
              <w:bottom w:val="nil"/>
              <w:right w:val="nil"/>
            </w:tcBorders>
            <w:vAlign w:val="center"/>
          </w:tcPr>
          <w:p>
            <w:pPr>
              <w:rPr>
                <w:rFonts w:cs="宋体" w:asciiTheme="minorEastAsia" w:hAnsiTheme="minorEastAsia" w:eastAsiaTheme="minorEastAsia"/>
              </w:rPr>
            </w:pPr>
          </w:p>
        </w:tc>
        <w:tc>
          <w:tcPr>
            <w:tcW w:w="236" w:type="dxa"/>
            <w:tcBorders>
              <w:top w:val="nil"/>
              <w:left w:val="nil"/>
              <w:bottom w:val="nil"/>
              <w:right w:val="nil"/>
            </w:tcBorders>
            <w:vAlign w:val="center"/>
          </w:tcPr>
          <w:p>
            <w:pPr>
              <w:rPr>
                <w:rFonts w:cs="宋体" w:asciiTheme="minorEastAsia" w:hAnsiTheme="minorEastAsia" w:eastAsiaTheme="minorEastAsia"/>
              </w:rPr>
            </w:pPr>
          </w:p>
        </w:tc>
        <w:tc>
          <w:tcPr>
            <w:tcW w:w="1248" w:type="dxa"/>
            <w:tcBorders>
              <w:top w:val="nil"/>
              <w:left w:val="nil"/>
              <w:bottom w:val="nil"/>
              <w:right w:val="nil"/>
            </w:tcBorders>
            <w:vAlign w:val="center"/>
          </w:tcPr>
          <w:p>
            <w:pPr>
              <w:rPr>
                <w:rFonts w:cs="宋体" w:asciiTheme="minorEastAsia" w:hAnsiTheme="minorEastAsia" w:eastAsiaTheme="minorEastAsia"/>
              </w:rPr>
            </w:pPr>
          </w:p>
        </w:tc>
        <w:tc>
          <w:tcPr>
            <w:tcW w:w="236" w:type="dxa"/>
            <w:tcBorders>
              <w:top w:val="nil"/>
              <w:left w:val="nil"/>
              <w:bottom w:val="nil"/>
              <w:right w:val="nil"/>
            </w:tcBorders>
            <w:vAlign w:val="center"/>
          </w:tcPr>
          <w:p>
            <w:pPr>
              <w:rPr>
                <w:rFonts w:cs="宋体" w:asciiTheme="minorEastAsia" w:hAnsiTheme="minorEastAsia" w:eastAsiaTheme="minorEastAsia"/>
              </w:rPr>
            </w:pPr>
          </w:p>
        </w:tc>
        <w:tc>
          <w:tcPr>
            <w:tcW w:w="2426" w:type="dxa"/>
            <w:tcBorders>
              <w:top w:val="nil"/>
              <w:left w:val="nil"/>
              <w:bottom w:val="nil"/>
              <w:right w:val="nil"/>
            </w:tcBorders>
            <w:vAlign w:val="center"/>
          </w:tcPr>
          <w:p>
            <w:pPr>
              <w:rPr>
                <w:rFonts w:cs="宋体" w:asciiTheme="minorEastAsia" w:hAnsiTheme="minorEastAsia" w:eastAsiaTheme="minorEastAsia"/>
              </w:rPr>
            </w:pPr>
          </w:p>
        </w:tc>
      </w:tr>
    </w:tbl>
    <w:p>
      <w:pPr>
        <w:spacing w:line="360" w:lineRule="auto"/>
        <w:ind w:right="-126"/>
        <w:jc w:val="center"/>
        <w:rPr>
          <w:rFonts w:asciiTheme="minorEastAsia" w:hAnsiTheme="minorEastAsia" w:eastAsiaTheme="minorEastAsia"/>
        </w:rPr>
      </w:pPr>
    </w:p>
    <w:p>
      <w:pPr>
        <w:spacing w:line="360" w:lineRule="auto"/>
        <w:ind w:right="-126"/>
        <w:rPr>
          <w:rFonts w:cs="Arial" w:asciiTheme="minorEastAsia" w:hAnsiTheme="minorEastAsia" w:eastAsiaTheme="minorEastAsia"/>
          <w:b/>
          <w:bCs/>
          <w:w w:val="90"/>
        </w:rPr>
      </w:pPr>
      <w:r>
        <w:rPr>
          <w:rFonts w:asciiTheme="minorEastAsia" w:hAnsiTheme="minorEastAsia" w:eastAsiaTheme="minorEastAsia"/>
        </w:rPr>
        <w:br w:type="page"/>
      </w:r>
      <w:bookmarkStart w:id="242" w:name="_Toc164568595"/>
      <w:bookmarkStart w:id="243" w:name="_Toc187747060"/>
      <w:bookmarkStart w:id="244" w:name="_Toc324152534"/>
      <w:bookmarkStart w:id="245" w:name="_Toc171134630"/>
      <w:bookmarkStart w:id="246" w:name="_Toc236555312"/>
      <w:r>
        <w:rPr>
          <w:rFonts w:hint="eastAsia" w:asciiTheme="minorEastAsia" w:hAnsiTheme="minorEastAsia" w:eastAsiaTheme="minorEastAsia"/>
        </w:rPr>
        <w:t>6</w:t>
      </w:r>
      <w:r>
        <w:rPr>
          <w:rFonts w:hint="eastAsia" w:cs="Arial" w:asciiTheme="minorEastAsia" w:hAnsiTheme="minorEastAsia" w:eastAsiaTheme="minorEastAsia"/>
          <w:b/>
          <w:bCs/>
          <w:w w:val="90"/>
        </w:rPr>
        <w:t>、业绩证明文件</w:t>
      </w:r>
      <w:bookmarkEnd w:id="242"/>
      <w:bookmarkEnd w:id="243"/>
      <w:bookmarkEnd w:id="244"/>
      <w:bookmarkEnd w:id="245"/>
      <w:bookmarkEnd w:id="246"/>
    </w:p>
    <w:p>
      <w:pPr>
        <w:spacing w:line="360" w:lineRule="auto"/>
        <w:jc w:val="center"/>
        <w:rPr>
          <w:rFonts w:asciiTheme="minorEastAsia" w:hAnsiTheme="minorEastAsia" w:eastAsiaTheme="minorEastAsia"/>
        </w:rPr>
      </w:pPr>
      <w:r>
        <w:rPr>
          <w:rFonts w:hint="eastAsia" w:asciiTheme="minorEastAsia" w:hAnsiTheme="minorEastAsia" w:eastAsiaTheme="minorEastAsia"/>
          <w:b/>
          <w:bCs/>
        </w:rPr>
        <w:t>（复印件加盖公章）</w:t>
      </w:r>
    </w:p>
    <w:p>
      <w:pPr>
        <w:tabs>
          <w:tab w:val="left" w:pos="5580"/>
        </w:tabs>
        <w:spacing w:before="120" w:line="360" w:lineRule="auto"/>
        <w:rPr>
          <w:rFonts w:asciiTheme="minorEastAsia" w:hAnsiTheme="minorEastAsia" w:eastAsiaTheme="minorEastAsia"/>
        </w:rPr>
      </w:pPr>
      <w:r>
        <w:rPr>
          <w:rFonts w:hint="eastAsia" w:asciiTheme="minorEastAsia" w:hAnsiTheme="minorEastAsia" w:eastAsiaTheme="minorEastAsia"/>
        </w:rPr>
        <w:t>说明：</w:t>
      </w:r>
    </w:p>
    <w:p>
      <w:pPr>
        <w:spacing w:line="360" w:lineRule="auto"/>
        <w:ind w:firstLine="440" w:firstLineChars="200"/>
        <w:rPr>
          <w:rFonts w:asciiTheme="minorEastAsia" w:hAnsiTheme="minorEastAsia" w:eastAsiaTheme="minorEastAsia"/>
          <w:bCs/>
          <w:lang w:eastAsia="zh-CN"/>
        </w:rPr>
      </w:pPr>
      <w:r>
        <w:rPr>
          <w:rFonts w:hint="eastAsia" w:asciiTheme="minorEastAsia" w:hAnsiTheme="minorEastAsia" w:eastAsiaTheme="minorEastAsia"/>
          <w:lang w:eastAsia="zh-CN"/>
        </w:rPr>
        <w:t>请单独列表说明，并提供业绩项目的合同或中标通知书，原件备查。</w:t>
      </w:r>
    </w:p>
    <w:p>
      <w:pPr>
        <w:spacing w:line="360" w:lineRule="auto"/>
        <w:ind w:right="-126"/>
        <w:jc w:val="center"/>
        <w:rPr>
          <w:rFonts w:asciiTheme="minorEastAsia" w:hAnsiTheme="minorEastAsia" w:eastAsiaTheme="minorEastAsia"/>
          <w:lang w:eastAsia="zh-CN"/>
        </w:rPr>
      </w:pPr>
    </w:p>
    <w:p>
      <w:pPr>
        <w:spacing w:line="360" w:lineRule="auto"/>
        <w:ind w:right="-126"/>
        <w:rPr>
          <w:rFonts w:asciiTheme="minorEastAsia" w:hAnsiTheme="minorEastAsia" w:eastAsiaTheme="minorEastAsia"/>
          <w:b/>
          <w:bCs/>
          <w:w w:val="90"/>
          <w:lang w:eastAsia="zh-CN"/>
        </w:rPr>
      </w:pPr>
    </w:p>
    <w:p>
      <w:pPr>
        <w:spacing w:line="360" w:lineRule="auto"/>
        <w:ind w:right="-126"/>
        <w:rPr>
          <w:rFonts w:asciiTheme="minorEastAsia" w:hAnsiTheme="minorEastAsia" w:eastAsiaTheme="minorEastAsia"/>
          <w:b/>
          <w:bCs/>
          <w:w w:val="90"/>
          <w:lang w:eastAsia="zh-CN"/>
        </w:rPr>
      </w:pPr>
    </w:p>
    <w:p>
      <w:pPr>
        <w:spacing w:line="360" w:lineRule="auto"/>
        <w:ind w:right="-126"/>
        <w:rPr>
          <w:rFonts w:asciiTheme="minorEastAsia" w:hAnsiTheme="minorEastAsia" w:eastAsiaTheme="minorEastAsia"/>
          <w:b/>
          <w:bCs/>
          <w:w w:val="90"/>
          <w:lang w:eastAsia="zh-CN"/>
        </w:rPr>
      </w:pPr>
    </w:p>
    <w:p>
      <w:pPr>
        <w:spacing w:line="360" w:lineRule="auto"/>
        <w:ind w:right="-126"/>
        <w:rPr>
          <w:rFonts w:asciiTheme="minorEastAsia" w:hAnsiTheme="minorEastAsia" w:eastAsiaTheme="minorEastAsia"/>
          <w:b/>
          <w:bCs/>
          <w:w w:val="90"/>
          <w:lang w:eastAsia="zh-CN"/>
        </w:rPr>
      </w:pPr>
    </w:p>
    <w:p>
      <w:pPr>
        <w:spacing w:line="360" w:lineRule="auto"/>
        <w:ind w:right="-126"/>
        <w:rPr>
          <w:rFonts w:asciiTheme="minorEastAsia" w:hAnsiTheme="minorEastAsia" w:eastAsiaTheme="minorEastAsia"/>
          <w:b/>
          <w:bCs/>
          <w:w w:val="90"/>
          <w:lang w:eastAsia="zh-CN"/>
        </w:rPr>
      </w:pPr>
    </w:p>
    <w:p>
      <w:pPr>
        <w:spacing w:line="360" w:lineRule="auto"/>
        <w:ind w:right="-126"/>
        <w:rPr>
          <w:rFonts w:asciiTheme="minorEastAsia" w:hAnsiTheme="minorEastAsia" w:eastAsiaTheme="minorEastAsia"/>
          <w:b/>
          <w:bCs/>
          <w:w w:val="90"/>
          <w:lang w:eastAsia="zh-CN"/>
        </w:rPr>
      </w:pPr>
    </w:p>
    <w:p>
      <w:pPr>
        <w:spacing w:line="360" w:lineRule="auto"/>
        <w:ind w:right="-126"/>
        <w:rPr>
          <w:rFonts w:asciiTheme="minorEastAsia" w:hAnsiTheme="minorEastAsia" w:eastAsiaTheme="minorEastAsia"/>
          <w:b/>
          <w:bCs/>
          <w:w w:val="90"/>
          <w:lang w:eastAsia="zh-CN"/>
        </w:rPr>
      </w:pPr>
    </w:p>
    <w:p>
      <w:pPr>
        <w:spacing w:line="360" w:lineRule="auto"/>
        <w:ind w:right="-126"/>
        <w:rPr>
          <w:rFonts w:asciiTheme="minorEastAsia" w:hAnsiTheme="minorEastAsia" w:eastAsiaTheme="minorEastAsia"/>
          <w:b/>
          <w:bCs/>
          <w:w w:val="90"/>
          <w:lang w:eastAsia="zh-CN"/>
        </w:rPr>
      </w:pPr>
    </w:p>
    <w:p>
      <w:pPr>
        <w:spacing w:line="360" w:lineRule="auto"/>
        <w:ind w:right="-126"/>
        <w:rPr>
          <w:rFonts w:asciiTheme="minorEastAsia" w:hAnsiTheme="minorEastAsia" w:eastAsiaTheme="minorEastAsia"/>
          <w:b/>
          <w:bCs/>
          <w:w w:val="90"/>
          <w:lang w:eastAsia="zh-CN"/>
        </w:rPr>
      </w:pPr>
    </w:p>
    <w:p>
      <w:pPr>
        <w:spacing w:line="360" w:lineRule="auto"/>
        <w:ind w:right="-126"/>
        <w:rPr>
          <w:rFonts w:asciiTheme="minorEastAsia" w:hAnsiTheme="minorEastAsia" w:eastAsiaTheme="minorEastAsia"/>
          <w:b/>
          <w:bCs/>
          <w:w w:val="90"/>
          <w:lang w:eastAsia="zh-CN"/>
        </w:rPr>
      </w:pPr>
    </w:p>
    <w:p>
      <w:pPr>
        <w:spacing w:line="360" w:lineRule="auto"/>
        <w:ind w:right="-126"/>
        <w:rPr>
          <w:rFonts w:asciiTheme="minorEastAsia" w:hAnsiTheme="minorEastAsia" w:eastAsiaTheme="minorEastAsia"/>
          <w:b/>
          <w:bCs/>
          <w:w w:val="90"/>
          <w:lang w:eastAsia="zh-CN"/>
        </w:rPr>
      </w:pPr>
    </w:p>
    <w:p>
      <w:pPr>
        <w:spacing w:line="360" w:lineRule="auto"/>
        <w:ind w:right="-126"/>
        <w:rPr>
          <w:rFonts w:asciiTheme="minorEastAsia" w:hAnsiTheme="minorEastAsia" w:eastAsiaTheme="minorEastAsia"/>
          <w:b/>
          <w:bCs/>
          <w:w w:val="90"/>
          <w:lang w:eastAsia="zh-CN"/>
        </w:rPr>
      </w:pPr>
    </w:p>
    <w:p>
      <w:pPr>
        <w:spacing w:line="360" w:lineRule="auto"/>
        <w:ind w:right="-126"/>
        <w:rPr>
          <w:rFonts w:asciiTheme="minorEastAsia" w:hAnsiTheme="minorEastAsia" w:eastAsiaTheme="minorEastAsia"/>
          <w:b/>
          <w:bCs/>
          <w:w w:val="90"/>
          <w:lang w:eastAsia="zh-CN"/>
        </w:rPr>
      </w:pPr>
    </w:p>
    <w:p>
      <w:pPr>
        <w:spacing w:line="360" w:lineRule="auto"/>
        <w:ind w:right="-126"/>
        <w:rPr>
          <w:rFonts w:asciiTheme="minorEastAsia" w:hAnsiTheme="minorEastAsia" w:eastAsiaTheme="minorEastAsia"/>
          <w:b/>
          <w:bCs/>
          <w:w w:val="90"/>
          <w:lang w:eastAsia="zh-CN"/>
        </w:rPr>
      </w:pPr>
    </w:p>
    <w:p>
      <w:pPr>
        <w:keepNext/>
        <w:keepLines/>
        <w:spacing w:before="260" w:after="260" w:line="360" w:lineRule="auto"/>
        <w:outlineLvl w:val="1"/>
        <w:rPr>
          <w:rFonts w:asciiTheme="minorEastAsia" w:hAnsiTheme="minorEastAsia" w:eastAsiaTheme="minorEastAsia"/>
          <w:b/>
          <w:bCs/>
          <w:w w:val="90"/>
          <w:lang w:eastAsia="zh-CN"/>
        </w:rPr>
        <w:sectPr>
          <w:footerReference r:id="rId14" w:type="first"/>
          <w:footerReference r:id="rId12" w:type="default"/>
          <w:footerReference r:id="rId13" w:type="even"/>
          <w:pgSz w:w="11906" w:h="16838"/>
          <w:pgMar w:top="1089" w:right="1599" w:bottom="1089" w:left="1599" w:header="851" w:footer="850" w:gutter="0"/>
          <w:pgNumType w:fmt="decimal"/>
          <w:cols w:space="0" w:num="1"/>
        </w:sectPr>
      </w:pPr>
      <w:bookmarkStart w:id="247" w:name="_Toc236555313"/>
      <w:bookmarkStart w:id="248" w:name="_Toc324152535"/>
      <w:bookmarkStart w:id="249" w:name="_Toc411245426"/>
    </w:p>
    <w:p>
      <w:pPr>
        <w:keepNext/>
        <w:keepLines/>
        <w:spacing w:before="260" w:after="260" w:line="360" w:lineRule="auto"/>
        <w:outlineLvl w:val="1"/>
        <w:rPr>
          <w:rFonts w:cs="Arial" w:asciiTheme="minorEastAsia" w:hAnsiTheme="minorEastAsia" w:eastAsiaTheme="minorEastAsia"/>
          <w:b/>
          <w:bCs/>
          <w:w w:val="90"/>
          <w:lang w:eastAsia="zh-CN"/>
        </w:rPr>
      </w:pPr>
      <w:bookmarkStart w:id="250" w:name="_Toc18509"/>
      <w:bookmarkStart w:id="251" w:name="_Toc465350712"/>
      <w:r>
        <w:rPr>
          <w:rFonts w:hint="eastAsia" w:asciiTheme="minorEastAsia" w:hAnsiTheme="minorEastAsia" w:eastAsiaTheme="minorEastAsia"/>
          <w:b/>
          <w:bCs/>
          <w:w w:val="90"/>
          <w:lang w:eastAsia="zh-CN"/>
        </w:rPr>
        <w:t>7、</w:t>
      </w:r>
      <w:r>
        <w:rPr>
          <w:rFonts w:hint="eastAsia" w:cs="Arial" w:asciiTheme="minorEastAsia" w:hAnsiTheme="minorEastAsia" w:eastAsiaTheme="minorEastAsia"/>
          <w:b/>
          <w:bCs/>
          <w:w w:val="90"/>
          <w:lang w:eastAsia="zh-CN"/>
        </w:rPr>
        <w:t>售后服务承诺书</w:t>
      </w:r>
      <w:bookmarkEnd w:id="247"/>
      <w:bookmarkEnd w:id="248"/>
      <w:bookmarkEnd w:id="249"/>
      <w:bookmarkEnd w:id="250"/>
      <w:bookmarkEnd w:id="251"/>
    </w:p>
    <w:p>
      <w:pPr>
        <w:spacing w:line="360" w:lineRule="auto"/>
        <w:ind w:right="-126"/>
        <w:rPr>
          <w:rFonts w:asciiTheme="minorEastAsia" w:hAnsiTheme="minorEastAsia" w:eastAsiaTheme="minorEastAsia"/>
          <w:lang w:eastAsia="zh-CN"/>
        </w:rPr>
      </w:pPr>
      <w:r>
        <w:rPr>
          <w:rFonts w:hint="eastAsia" w:asciiTheme="minorEastAsia" w:hAnsiTheme="minorEastAsia" w:eastAsiaTheme="minorEastAsia"/>
          <w:lang w:eastAsia="zh-CN"/>
        </w:rPr>
        <w:t>我公司为本项目采购提供如下售后服务的各项内容等特此承诺：</w:t>
      </w:r>
    </w:p>
    <w:p>
      <w:pPr>
        <w:spacing w:line="360" w:lineRule="auto"/>
        <w:ind w:right="-126"/>
        <w:jc w:val="center"/>
        <w:rPr>
          <w:rFonts w:asciiTheme="minorEastAsia" w:hAnsiTheme="minorEastAsia" w:eastAsiaTheme="minorEastAsia"/>
          <w:lang w:eastAsia="zh-CN"/>
        </w:rPr>
      </w:pPr>
    </w:p>
    <w:p>
      <w:pPr>
        <w:spacing w:line="440" w:lineRule="exact"/>
        <w:rPr>
          <w:rFonts w:asciiTheme="minorEastAsia" w:hAnsiTheme="minorEastAsia" w:eastAsiaTheme="minorEastAsia"/>
          <w:lang w:eastAsia="zh-CN"/>
        </w:rPr>
      </w:pPr>
    </w:p>
    <w:p>
      <w:pPr>
        <w:snapToGrid w:val="0"/>
        <w:spacing w:line="360" w:lineRule="auto"/>
        <w:rPr>
          <w:rFonts w:asciiTheme="minorEastAsia" w:hAnsiTheme="minorEastAsia" w:eastAsiaTheme="minorEastAsia"/>
          <w:u w:val="single"/>
          <w:lang w:eastAsia="zh-CN"/>
        </w:rPr>
      </w:pPr>
      <w:r>
        <w:rPr>
          <w:rFonts w:hint="eastAsia" w:asciiTheme="minorEastAsia" w:hAnsiTheme="minorEastAsia" w:eastAsiaTheme="minorEastAsia"/>
          <w:lang w:eastAsia="zh-CN"/>
        </w:rPr>
        <w:t>投标人：</w:t>
      </w:r>
      <w:r>
        <w:rPr>
          <w:rFonts w:hint="eastAsia" w:asciiTheme="minorEastAsia" w:hAnsiTheme="minorEastAsia" w:eastAsiaTheme="minorEastAsia"/>
          <w:u w:val="single"/>
          <w:lang w:eastAsia="zh-CN"/>
        </w:rPr>
        <w:t>（盖公章）</w:t>
      </w:r>
    </w:p>
    <w:p>
      <w:pPr>
        <w:snapToGrid w:val="0"/>
        <w:spacing w:line="360" w:lineRule="auto"/>
        <w:rPr>
          <w:rFonts w:asciiTheme="minorEastAsia" w:hAnsiTheme="minorEastAsia" w:eastAsiaTheme="minorEastAsia"/>
          <w:u w:val="single"/>
          <w:lang w:eastAsia="zh-CN"/>
        </w:rPr>
      </w:pPr>
      <w:r>
        <w:rPr>
          <w:rFonts w:hint="eastAsia" w:asciiTheme="minorEastAsia" w:hAnsiTheme="minorEastAsia" w:eastAsiaTheme="minorEastAsia"/>
          <w:lang w:eastAsia="zh-CN"/>
        </w:rPr>
        <w:t>法人代表或其授权人：</w:t>
      </w:r>
      <w:r>
        <w:rPr>
          <w:rFonts w:hint="eastAsia" w:asciiTheme="minorEastAsia" w:hAnsiTheme="minorEastAsia" w:eastAsiaTheme="minorEastAsia"/>
          <w:u w:val="single"/>
          <w:lang w:eastAsia="zh-CN"/>
        </w:rPr>
        <w:t>（签字</w:t>
      </w:r>
      <w:r>
        <w:rPr>
          <w:rFonts w:asciiTheme="minorEastAsia" w:hAnsiTheme="minorEastAsia" w:eastAsiaTheme="minorEastAsia"/>
          <w:u w:val="single"/>
          <w:lang w:eastAsia="zh-CN"/>
        </w:rPr>
        <w:t>/</w:t>
      </w:r>
      <w:r>
        <w:rPr>
          <w:rFonts w:hint="eastAsia" w:asciiTheme="minorEastAsia" w:hAnsiTheme="minorEastAsia" w:eastAsiaTheme="minorEastAsia"/>
          <w:u w:val="single"/>
          <w:lang w:eastAsia="zh-CN"/>
        </w:rPr>
        <w:t>盖章）</w:t>
      </w:r>
    </w:p>
    <w:p>
      <w:pPr>
        <w:snapToGrid w:val="0"/>
        <w:spacing w:line="360" w:lineRule="auto"/>
        <w:rPr>
          <w:rFonts w:asciiTheme="minorEastAsia" w:hAnsiTheme="minorEastAsia" w:eastAsiaTheme="minorEastAsia"/>
          <w:u w:val="single"/>
          <w:lang w:eastAsia="zh-CN"/>
        </w:rPr>
      </w:pPr>
      <w:r>
        <w:rPr>
          <w:rFonts w:hint="eastAsia" w:asciiTheme="minorEastAsia" w:hAnsiTheme="minorEastAsia" w:eastAsiaTheme="minorEastAsia"/>
          <w:lang w:eastAsia="zh-CN"/>
        </w:rPr>
        <w:t>日期：</w:t>
      </w:r>
    </w:p>
    <w:p>
      <w:pPr>
        <w:snapToGrid w:val="0"/>
        <w:spacing w:line="360" w:lineRule="auto"/>
        <w:rPr>
          <w:rFonts w:asciiTheme="minorEastAsia" w:hAnsiTheme="minorEastAsia" w:eastAsiaTheme="minorEastAsia"/>
          <w:u w:val="single"/>
          <w:lang w:eastAsia="zh-CN"/>
        </w:rPr>
      </w:pPr>
    </w:p>
    <w:p>
      <w:pPr>
        <w:snapToGrid w:val="0"/>
        <w:spacing w:line="360" w:lineRule="auto"/>
        <w:rPr>
          <w:rFonts w:asciiTheme="minorEastAsia" w:hAnsiTheme="minorEastAsia" w:eastAsiaTheme="minorEastAsia"/>
          <w:u w:val="single"/>
          <w:lang w:eastAsia="zh-CN"/>
        </w:rPr>
      </w:pPr>
    </w:p>
    <w:p>
      <w:pPr>
        <w:rPr>
          <w:rFonts w:asciiTheme="minorEastAsia" w:hAnsiTheme="minorEastAsia" w:eastAsiaTheme="minorEastAsia"/>
          <w:u w:val="single"/>
          <w:lang w:eastAsia="zh-CN"/>
        </w:rPr>
      </w:pPr>
      <w:r>
        <w:rPr>
          <w:rFonts w:asciiTheme="minorEastAsia" w:hAnsiTheme="minorEastAsia" w:eastAsiaTheme="minorEastAsia"/>
          <w:u w:val="single"/>
          <w:lang w:eastAsia="zh-CN"/>
        </w:rPr>
        <w:br w:type="page"/>
      </w:r>
    </w:p>
    <w:p>
      <w:pPr>
        <w:rPr>
          <w:rFonts w:asciiTheme="minorEastAsia" w:hAnsiTheme="minorEastAsia" w:eastAsiaTheme="minorEastAsia"/>
          <w:u w:val="single"/>
          <w:lang w:eastAsia="zh-CN"/>
        </w:rPr>
      </w:pPr>
    </w:p>
    <w:p>
      <w:pPr>
        <w:rPr>
          <w:rFonts w:asciiTheme="minorEastAsia" w:hAnsiTheme="minorEastAsia" w:eastAsiaTheme="minorEastAsia"/>
          <w:u w:val="single"/>
          <w:lang w:eastAsia="zh-CN"/>
        </w:rPr>
      </w:pPr>
    </w:p>
    <w:p>
      <w:pPr>
        <w:rPr>
          <w:rFonts w:asciiTheme="minorEastAsia" w:hAnsiTheme="minorEastAsia" w:eastAsiaTheme="minorEastAsia"/>
          <w:u w:val="single"/>
          <w:lang w:eastAsia="zh-CN"/>
        </w:rPr>
      </w:pPr>
    </w:p>
    <w:p>
      <w:pPr>
        <w:rPr>
          <w:rFonts w:asciiTheme="minorEastAsia" w:hAnsiTheme="minorEastAsia" w:eastAsiaTheme="minorEastAsia"/>
          <w:u w:val="single"/>
          <w:lang w:eastAsia="zh-CN"/>
        </w:rPr>
      </w:pPr>
    </w:p>
    <w:p>
      <w:pPr>
        <w:rPr>
          <w:rFonts w:asciiTheme="minorEastAsia" w:hAnsiTheme="minorEastAsia" w:eastAsiaTheme="minorEastAsia"/>
          <w:u w:val="single"/>
          <w:lang w:eastAsia="zh-CN"/>
        </w:rPr>
      </w:pPr>
    </w:p>
    <w:p>
      <w:pPr>
        <w:rPr>
          <w:rFonts w:asciiTheme="minorEastAsia" w:hAnsiTheme="minorEastAsia" w:eastAsiaTheme="minorEastAsia"/>
          <w:u w:val="single"/>
          <w:lang w:eastAsia="zh-CN"/>
        </w:rPr>
      </w:pPr>
    </w:p>
    <w:p>
      <w:pPr>
        <w:pStyle w:val="2"/>
        <w:rPr>
          <w:rFonts w:asciiTheme="minorEastAsia" w:hAnsiTheme="minorEastAsia" w:eastAsiaTheme="minorEastAsia"/>
          <w:u w:val="single"/>
          <w:lang w:eastAsia="zh-CN"/>
        </w:rPr>
      </w:pPr>
    </w:p>
    <w:p>
      <w:pPr>
        <w:rPr>
          <w:lang w:eastAsia="zh-CN"/>
        </w:rPr>
      </w:pPr>
    </w:p>
    <w:p>
      <w:pPr>
        <w:pStyle w:val="2"/>
        <w:rPr>
          <w:lang w:eastAsia="zh-CN"/>
        </w:rPr>
      </w:pPr>
    </w:p>
    <w:p>
      <w:pPr>
        <w:rPr>
          <w:lang w:eastAsia="zh-CN"/>
        </w:rPr>
      </w:pPr>
    </w:p>
    <w:p>
      <w:pPr>
        <w:pStyle w:val="2"/>
        <w:rPr>
          <w:lang w:eastAsia="zh-CN"/>
        </w:rPr>
      </w:pPr>
    </w:p>
    <w:p>
      <w:pPr>
        <w:keepNext/>
        <w:keepLines/>
        <w:widowControl w:val="0"/>
        <w:tabs>
          <w:tab w:val="left" w:pos="2160"/>
        </w:tabs>
        <w:snapToGrid w:val="0"/>
        <w:spacing w:before="340" w:after="330" w:line="360" w:lineRule="auto"/>
        <w:jc w:val="center"/>
        <w:outlineLvl w:val="0"/>
        <w:rPr>
          <w:rFonts w:ascii="宋体" w:hAnsi="宋体"/>
          <w:b/>
          <w:bCs/>
          <w:kern w:val="44"/>
          <w:sz w:val="44"/>
          <w:szCs w:val="36"/>
          <w:lang w:eastAsia="zh-CN" w:bidi="ar-SA"/>
        </w:rPr>
      </w:pPr>
      <w:bookmarkStart w:id="252" w:name="_Toc47416201"/>
      <w:bookmarkStart w:id="253" w:name="_Toc47415947"/>
      <w:bookmarkStart w:id="254" w:name="_Toc99466925"/>
      <w:bookmarkStart w:id="255" w:name="_Toc49019240"/>
      <w:bookmarkStart w:id="256" w:name="_Toc411245427"/>
      <w:bookmarkStart w:id="257" w:name="_Toc324152536"/>
      <w:bookmarkStart w:id="258" w:name="_Toc236555315"/>
      <w:bookmarkStart w:id="259" w:name="_Toc465350713"/>
      <w:bookmarkStart w:id="260" w:name="_Toc7626"/>
      <w:r>
        <w:rPr>
          <w:rFonts w:hint="eastAsia" w:ascii="宋体" w:hAnsi="宋体"/>
          <w:b/>
          <w:bCs/>
          <w:kern w:val="44"/>
          <w:sz w:val="44"/>
          <w:szCs w:val="36"/>
          <w:lang w:eastAsia="zh-CN" w:bidi="ar-SA"/>
        </w:rPr>
        <w:t>第八章 评标标准</w:t>
      </w:r>
      <w:bookmarkEnd w:id="252"/>
      <w:bookmarkEnd w:id="253"/>
      <w:bookmarkEnd w:id="254"/>
      <w:bookmarkEnd w:id="255"/>
      <w:r>
        <w:rPr>
          <w:rFonts w:hint="eastAsia" w:ascii="宋体" w:hAnsi="宋体"/>
          <w:b/>
          <w:bCs/>
          <w:kern w:val="44"/>
          <w:sz w:val="44"/>
          <w:szCs w:val="36"/>
          <w:lang w:eastAsia="zh-CN" w:bidi="ar-SA"/>
        </w:rPr>
        <w:t>与方法</w:t>
      </w:r>
      <w:bookmarkEnd w:id="256"/>
      <w:bookmarkEnd w:id="257"/>
      <w:bookmarkEnd w:id="258"/>
      <w:bookmarkEnd w:id="259"/>
      <w:bookmarkEnd w:id="260"/>
    </w:p>
    <w:p>
      <w:pPr>
        <w:rPr>
          <w:rFonts w:cs="宋体" w:asciiTheme="minorEastAsia" w:hAnsiTheme="minorEastAsia" w:eastAsiaTheme="minorEastAsia"/>
          <w:lang w:eastAsia="zh-CN"/>
        </w:rPr>
        <w:sectPr>
          <w:footerReference r:id="rId15" w:type="default"/>
          <w:pgSz w:w="11906" w:h="16838"/>
          <w:pgMar w:top="1089" w:right="1599" w:bottom="1089" w:left="1599" w:header="851" w:footer="850" w:gutter="0"/>
          <w:pgNumType w:fmt="decimal"/>
          <w:cols w:space="0" w:num="1"/>
        </w:sectPr>
      </w:pPr>
    </w:p>
    <w:p>
      <w:pPr>
        <w:keepNext/>
        <w:keepLines/>
        <w:spacing w:before="260" w:after="260" w:line="415" w:lineRule="auto"/>
        <w:jc w:val="center"/>
        <w:outlineLvl w:val="1"/>
        <w:rPr>
          <w:rFonts w:cs="Arial" w:asciiTheme="minorEastAsia" w:hAnsiTheme="minorEastAsia" w:eastAsiaTheme="minorEastAsia"/>
          <w:b/>
          <w:lang w:eastAsia="zh-CN"/>
        </w:rPr>
      </w:pPr>
      <w:bookmarkStart w:id="261" w:name="_Toc324152537"/>
      <w:bookmarkStart w:id="262" w:name="_Toc11206"/>
      <w:bookmarkStart w:id="263" w:name="_Toc40599702"/>
      <w:bookmarkStart w:id="264" w:name="_Toc465350714"/>
      <w:bookmarkStart w:id="265" w:name="_Toc160954999"/>
      <w:bookmarkStart w:id="266" w:name="_Toc411245428"/>
      <w:bookmarkStart w:id="267" w:name="_Toc39677665"/>
      <w:bookmarkStart w:id="268" w:name="_Toc236555316"/>
      <w:r>
        <w:rPr>
          <w:rFonts w:hint="eastAsia" w:cs="Arial" w:asciiTheme="minorEastAsia" w:hAnsiTheme="minorEastAsia" w:eastAsiaTheme="minorEastAsia"/>
          <w:b/>
          <w:lang w:eastAsia="zh-CN"/>
        </w:rPr>
        <w:t>一、评标方法</w:t>
      </w:r>
      <w:bookmarkEnd w:id="261"/>
      <w:bookmarkEnd w:id="262"/>
      <w:bookmarkEnd w:id="263"/>
      <w:bookmarkEnd w:id="264"/>
      <w:bookmarkEnd w:id="265"/>
      <w:bookmarkEnd w:id="266"/>
      <w:bookmarkEnd w:id="267"/>
      <w:bookmarkEnd w:id="268"/>
    </w:p>
    <w:p>
      <w:pPr>
        <w:tabs>
          <w:tab w:val="left" w:pos="480"/>
        </w:tabs>
        <w:spacing w:line="440" w:lineRule="exact"/>
        <w:ind w:left="480" w:hanging="480"/>
        <w:rPr>
          <w:rFonts w:asciiTheme="minorEastAsia" w:hAnsiTheme="minorEastAsia" w:eastAsiaTheme="minorEastAsia"/>
          <w:b/>
          <w:bCs/>
          <w:lang w:eastAsia="zh-CN"/>
        </w:rPr>
      </w:pPr>
      <w:r>
        <w:rPr>
          <w:rFonts w:asciiTheme="minorEastAsia" w:hAnsiTheme="minorEastAsia" w:eastAsiaTheme="minorEastAsia"/>
          <w:b/>
          <w:bCs/>
          <w:lang w:eastAsia="zh-CN"/>
        </w:rPr>
        <w:t>1</w:t>
      </w:r>
      <w:r>
        <w:rPr>
          <w:rFonts w:hint="eastAsia" w:asciiTheme="minorEastAsia" w:hAnsiTheme="minorEastAsia" w:eastAsiaTheme="minorEastAsia"/>
          <w:b/>
          <w:bCs/>
          <w:lang w:eastAsia="zh-CN"/>
        </w:rPr>
        <w:t>、适用范围</w:t>
      </w:r>
    </w:p>
    <w:p>
      <w:pPr>
        <w:spacing w:line="440" w:lineRule="exact"/>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此评标办法只适用于本项目。</w:t>
      </w:r>
    </w:p>
    <w:p>
      <w:pPr>
        <w:tabs>
          <w:tab w:val="left" w:pos="480"/>
        </w:tabs>
        <w:spacing w:line="440" w:lineRule="exact"/>
        <w:ind w:left="480" w:hanging="480"/>
        <w:rPr>
          <w:rFonts w:asciiTheme="minorEastAsia" w:hAnsiTheme="minorEastAsia" w:eastAsiaTheme="minorEastAsia"/>
          <w:b/>
          <w:bCs/>
          <w:lang w:eastAsia="zh-CN"/>
        </w:rPr>
      </w:pPr>
      <w:r>
        <w:rPr>
          <w:rFonts w:asciiTheme="minorEastAsia" w:hAnsiTheme="minorEastAsia" w:eastAsiaTheme="minorEastAsia"/>
          <w:b/>
          <w:bCs/>
          <w:lang w:eastAsia="zh-CN"/>
        </w:rPr>
        <w:t>2</w:t>
      </w:r>
      <w:r>
        <w:rPr>
          <w:rFonts w:hint="eastAsia" w:asciiTheme="minorEastAsia" w:hAnsiTheme="minorEastAsia" w:eastAsiaTheme="minorEastAsia"/>
          <w:b/>
          <w:bCs/>
          <w:lang w:eastAsia="zh-CN"/>
        </w:rPr>
        <w:t>、评标原则</w:t>
      </w:r>
    </w:p>
    <w:p>
      <w:pPr>
        <w:spacing w:line="440" w:lineRule="exact"/>
        <w:ind w:firstLine="420"/>
        <w:rPr>
          <w:rFonts w:asciiTheme="minorEastAsia" w:hAnsiTheme="minorEastAsia" w:eastAsiaTheme="minorEastAsia"/>
          <w:b w:val="0"/>
          <w:bCs/>
          <w:lang w:eastAsia="zh-CN"/>
        </w:rPr>
      </w:pPr>
      <w:r>
        <w:rPr>
          <w:rFonts w:hint="eastAsia" w:asciiTheme="minorEastAsia" w:hAnsiTheme="minorEastAsia" w:eastAsiaTheme="minorEastAsia"/>
          <w:b w:val="0"/>
          <w:bCs/>
          <w:lang w:eastAsia="zh-CN"/>
        </w:rPr>
        <w:t>评标原则是指评标</w:t>
      </w:r>
      <w:r>
        <w:rPr>
          <w:rFonts w:hint="eastAsia" w:asciiTheme="minorEastAsia" w:hAnsiTheme="minorEastAsia" w:eastAsiaTheme="minorEastAsia"/>
          <w:b w:val="0"/>
          <w:bCs/>
          <w:lang w:val="en-US" w:eastAsia="zh-CN"/>
        </w:rPr>
        <w:t>委员会</w:t>
      </w:r>
      <w:r>
        <w:rPr>
          <w:rFonts w:hint="eastAsia" w:asciiTheme="minorEastAsia" w:hAnsiTheme="minorEastAsia" w:eastAsiaTheme="minorEastAsia"/>
          <w:b w:val="0"/>
          <w:bCs/>
          <w:lang w:eastAsia="zh-CN"/>
        </w:rPr>
        <w:t>专家在评标活动中应遵循的原则，即《中华人民共和国招标投标法》和七部委令所规定的“公平、公正、科学、择优”的原则。</w:t>
      </w:r>
    </w:p>
    <w:p>
      <w:pPr>
        <w:tabs>
          <w:tab w:val="left" w:pos="480"/>
        </w:tabs>
        <w:spacing w:line="440" w:lineRule="exact"/>
        <w:ind w:left="480" w:hanging="480"/>
        <w:rPr>
          <w:rFonts w:asciiTheme="minorEastAsia" w:hAnsiTheme="minorEastAsia" w:eastAsiaTheme="minorEastAsia"/>
          <w:b/>
          <w:bCs/>
          <w:lang w:eastAsia="zh-CN"/>
        </w:rPr>
      </w:pPr>
      <w:r>
        <w:rPr>
          <w:rFonts w:asciiTheme="minorEastAsia" w:hAnsiTheme="minorEastAsia" w:eastAsiaTheme="minorEastAsia"/>
          <w:b/>
          <w:bCs/>
          <w:lang w:eastAsia="zh-CN"/>
        </w:rPr>
        <w:t>3</w:t>
      </w:r>
      <w:r>
        <w:rPr>
          <w:rFonts w:hint="eastAsia" w:asciiTheme="minorEastAsia" w:hAnsiTheme="minorEastAsia" w:eastAsiaTheme="minorEastAsia"/>
          <w:b/>
          <w:bCs/>
          <w:lang w:eastAsia="zh-CN"/>
        </w:rPr>
        <w:t>、评标标准</w:t>
      </w:r>
    </w:p>
    <w:p>
      <w:pPr>
        <w:spacing w:line="440" w:lineRule="exact"/>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评标标准是指招标文件中所规定的各项标准，分</w:t>
      </w:r>
      <w:r>
        <w:rPr>
          <w:rFonts w:hint="eastAsia" w:asciiTheme="minorEastAsia" w:hAnsiTheme="minorEastAsia" w:eastAsiaTheme="minorEastAsia"/>
          <w:lang w:val="en-US" w:eastAsia="zh-CN"/>
        </w:rPr>
        <w:t>报价、</w:t>
      </w:r>
      <w:r>
        <w:rPr>
          <w:rFonts w:hint="eastAsia" w:asciiTheme="minorEastAsia" w:hAnsiTheme="minorEastAsia" w:eastAsiaTheme="minorEastAsia"/>
          <w:lang w:eastAsia="zh-CN"/>
        </w:rPr>
        <w:t>技术标准和商务标准：</w:t>
      </w:r>
    </w:p>
    <w:p>
      <w:pPr>
        <w:numPr>
          <w:ilvl w:val="0"/>
          <w:numId w:val="33"/>
        </w:numPr>
        <w:spacing w:line="440" w:lineRule="exact"/>
        <w:ind w:firstLine="442" w:firstLineChars="200"/>
        <w:rPr>
          <w:rFonts w:hint="eastAsia" w:asciiTheme="minorEastAsia" w:hAnsiTheme="minorEastAsia" w:eastAsiaTheme="minorEastAsia"/>
          <w:b w:val="0"/>
          <w:bCs w:val="0"/>
          <w:lang w:val="en-US" w:eastAsia="zh-CN"/>
        </w:rPr>
      </w:pPr>
      <w:r>
        <w:rPr>
          <w:rFonts w:hint="eastAsia" w:asciiTheme="minorEastAsia" w:hAnsiTheme="minorEastAsia" w:eastAsiaTheme="minorEastAsia"/>
          <w:b/>
          <w:bCs/>
          <w:lang w:eastAsia="zh-CN"/>
        </w:rPr>
        <w:t>报价</w:t>
      </w:r>
      <w:r>
        <w:rPr>
          <w:rFonts w:hint="eastAsia" w:asciiTheme="minorEastAsia" w:hAnsiTheme="minorEastAsia" w:eastAsiaTheme="minorEastAsia"/>
          <w:b w:val="0"/>
          <w:bCs w:val="0"/>
          <w:lang w:val="en-US" w:eastAsia="zh-CN"/>
        </w:rPr>
        <w:t>是指投标方根据招标文件中所涉及的所有技术要求，对提供的产品、人员、服务等进行项目预算的提报。</w:t>
      </w:r>
    </w:p>
    <w:p>
      <w:pPr>
        <w:numPr>
          <w:ilvl w:val="0"/>
          <w:numId w:val="33"/>
        </w:numPr>
        <w:spacing w:line="440" w:lineRule="exact"/>
        <w:ind w:firstLine="442" w:firstLineChars="200"/>
        <w:rPr>
          <w:rFonts w:asciiTheme="minorEastAsia" w:hAnsiTheme="minorEastAsia" w:eastAsiaTheme="minorEastAsia"/>
          <w:lang w:eastAsia="zh-CN"/>
        </w:rPr>
      </w:pPr>
      <w:r>
        <w:rPr>
          <w:rFonts w:hint="eastAsia" w:asciiTheme="minorEastAsia" w:hAnsiTheme="minorEastAsia" w:eastAsiaTheme="minorEastAsia"/>
          <w:b/>
          <w:bCs/>
          <w:lang w:eastAsia="zh-CN"/>
        </w:rPr>
        <w:t>技术标准</w:t>
      </w:r>
      <w:r>
        <w:rPr>
          <w:rFonts w:hint="eastAsia" w:asciiTheme="minorEastAsia" w:hAnsiTheme="minorEastAsia" w:eastAsiaTheme="minorEastAsia"/>
          <w:lang w:eastAsia="zh-CN"/>
        </w:rPr>
        <w:t>是指招标文件中所规定的技术方案、功能要求、产品名称主要技术参数和要求、技术服务、质量保证等。</w:t>
      </w:r>
    </w:p>
    <w:p>
      <w:pPr>
        <w:spacing w:line="440" w:lineRule="exact"/>
        <w:ind w:firstLine="440" w:firstLineChars="200"/>
        <w:rPr>
          <w:rFonts w:asciiTheme="minorEastAsia" w:hAnsiTheme="minorEastAsia" w:eastAsiaTheme="minorEastAsia"/>
          <w:lang w:eastAsia="zh-CN"/>
        </w:rPr>
      </w:pPr>
      <w:r>
        <w:rPr>
          <w:rFonts w:hint="eastAsia" w:asciiTheme="minorEastAsia" w:hAnsiTheme="minorEastAsia" w:eastAsiaTheme="minorEastAsia"/>
          <w:lang w:val="en-US" w:eastAsia="zh-CN"/>
        </w:rPr>
        <w:t>3</w:t>
      </w:r>
      <w:r>
        <w:rPr>
          <w:rFonts w:hint="eastAsia" w:asciiTheme="minorEastAsia" w:hAnsiTheme="minorEastAsia" w:eastAsiaTheme="minorEastAsia"/>
          <w:lang w:eastAsia="zh-CN"/>
        </w:rPr>
        <w:t>）</w:t>
      </w:r>
      <w:r>
        <w:rPr>
          <w:rFonts w:hint="eastAsia" w:asciiTheme="minorEastAsia" w:hAnsiTheme="minorEastAsia" w:eastAsiaTheme="minorEastAsia"/>
          <w:b/>
          <w:bCs/>
          <w:lang w:eastAsia="zh-CN"/>
        </w:rPr>
        <w:t>商务标准</w:t>
      </w:r>
      <w:r>
        <w:rPr>
          <w:rFonts w:hint="eastAsia" w:asciiTheme="minorEastAsia" w:hAnsiTheme="minorEastAsia" w:eastAsiaTheme="minorEastAsia"/>
          <w:lang w:eastAsia="zh-CN"/>
        </w:rPr>
        <w:t>是指技术标准以外的全部招标要素，如投标人须知、合同条款所要求的文件格式，特别是招标文件要求的投标保证金、资格文件、交货期等。</w:t>
      </w:r>
    </w:p>
    <w:p>
      <w:pPr>
        <w:tabs>
          <w:tab w:val="left" w:pos="480"/>
        </w:tabs>
        <w:spacing w:line="440" w:lineRule="exact"/>
        <w:ind w:left="480" w:hanging="480"/>
        <w:rPr>
          <w:rFonts w:asciiTheme="minorEastAsia" w:hAnsiTheme="minorEastAsia" w:eastAsiaTheme="minorEastAsia"/>
          <w:b/>
          <w:bCs/>
          <w:lang w:eastAsia="zh-CN"/>
        </w:rPr>
      </w:pPr>
      <w:r>
        <w:rPr>
          <w:rFonts w:asciiTheme="minorEastAsia" w:hAnsiTheme="minorEastAsia" w:eastAsiaTheme="minorEastAsia"/>
          <w:b/>
          <w:bCs/>
          <w:lang w:eastAsia="zh-CN"/>
        </w:rPr>
        <w:t>4</w:t>
      </w:r>
      <w:r>
        <w:rPr>
          <w:rFonts w:hint="eastAsia" w:asciiTheme="minorEastAsia" w:hAnsiTheme="minorEastAsia" w:eastAsiaTheme="minorEastAsia"/>
          <w:b/>
          <w:bCs/>
          <w:lang w:eastAsia="zh-CN"/>
        </w:rPr>
        <w:t>、评标方法</w:t>
      </w:r>
    </w:p>
    <w:p>
      <w:pPr>
        <w:spacing w:line="440" w:lineRule="exact"/>
        <w:ind w:firstLine="420"/>
        <w:rPr>
          <w:rFonts w:asciiTheme="minorEastAsia" w:hAnsiTheme="minorEastAsia" w:eastAsiaTheme="minorEastAsia"/>
          <w:b w:val="0"/>
          <w:bCs/>
          <w:lang w:eastAsia="zh-CN"/>
        </w:rPr>
      </w:pPr>
      <w:r>
        <w:rPr>
          <w:rFonts w:hint="eastAsia" w:asciiTheme="minorEastAsia" w:hAnsiTheme="minorEastAsia" w:eastAsiaTheme="minorEastAsia"/>
          <w:b w:val="0"/>
          <w:bCs/>
          <w:lang w:eastAsia="zh-CN"/>
        </w:rPr>
        <w:t>评标方法是指评标</w:t>
      </w:r>
      <w:r>
        <w:rPr>
          <w:rFonts w:hint="eastAsia" w:asciiTheme="minorEastAsia" w:hAnsiTheme="minorEastAsia" w:eastAsiaTheme="minorEastAsia"/>
          <w:b w:val="0"/>
          <w:bCs/>
          <w:lang w:val="en-US" w:eastAsia="zh-CN"/>
        </w:rPr>
        <w:t>委员会</w:t>
      </w:r>
      <w:r>
        <w:rPr>
          <w:rFonts w:hint="eastAsia" w:asciiTheme="minorEastAsia" w:hAnsiTheme="minorEastAsia" w:eastAsiaTheme="minorEastAsia"/>
          <w:b w:val="0"/>
          <w:bCs/>
          <w:lang w:eastAsia="zh-CN"/>
        </w:rPr>
        <w:t>，除遵循评标原则与标准以外，根据本项目此次招标的情况，采用综合评估法（打分法）对所招标的内容进行具体的评审。</w:t>
      </w:r>
    </w:p>
    <w:p>
      <w:pPr>
        <w:spacing w:line="440" w:lineRule="exact"/>
        <w:ind w:firstLine="440" w:firstLineChars="200"/>
        <w:rPr>
          <w:rFonts w:asciiTheme="minorEastAsia" w:hAnsiTheme="minorEastAsia" w:eastAsiaTheme="minorEastAsia"/>
          <w:b w:val="0"/>
          <w:bCs/>
          <w:lang w:eastAsia="zh-CN"/>
        </w:rPr>
      </w:pPr>
      <w:r>
        <w:rPr>
          <w:rFonts w:hint="eastAsia" w:asciiTheme="minorEastAsia" w:hAnsiTheme="minorEastAsia" w:eastAsiaTheme="minorEastAsia"/>
          <w:b w:val="0"/>
          <w:bCs/>
          <w:lang w:eastAsia="zh-CN"/>
        </w:rPr>
        <w:t>综合评估法即以招标文件为依据，对投标人的投标文件进行综合评价打分，评出能够最大限度地满足招标文件规定的各项综合评价标准得分最高的投标人，推荐中标候选人。</w:t>
      </w:r>
    </w:p>
    <w:p>
      <w:pPr>
        <w:rPr>
          <w:rFonts w:hint="eastAsia" w:cs="Arial" w:asciiTheme="minorEastAsia" w:hAnsiTheme="minorEastAsia" w:eastAsiaTheme="minorEastAsia"/>
          <w:b/>
          <w:lang w:eastAsia="zh-CN"/>
        </w:rPr>
      </w:pPr>
      <w:bookmarkStart w:id="269" w:name="_Toc39677666"/>
      <w:bookmarkStart w:id="270" w:name="_Toc411245429"/>
      <w:bookmarkStart w:id="271" w:name="_Toc22508"/>
      <w:bookmarkStart w:id="272" w:name="_Toc160955000"/>
      <w:bookmarkStart w:id="273" w:name="_Toc324152538"/>
      <w:bookmarkStart w:id="274" w:name="_Toc465350715"/>
      <w:bookmarkStart w:id="275" w:name="_Toc40599703"/>
      <w:bookmarkStart w:id="276" w:name="_Toc236555317"/>
      <w:r>
        <w:rPr>
          <w:rFonts w:hint="eastAsia" w:cs="Arial" w:asciiTheme="minorEastAsia" w:hAnsiTheme="minorEastAsia" w:eastAsiaTheme="minorEastAsia"/>
          <w:b/>
          <w:lang w:eastAsia="zh-CN"/>
        </w:rPr>
        <w:br w:type="page"/>
      </w:r>
    </w:p>
    <w:p>
      <w:pPr>
        <w:keepNext/>
        <w:keepLines/>
        <w:spacing w:before="260" w:after="260" w:line="415" w:lineRule="auto"/>
        <w:jc w:val="center"/>
        <w:outlineLvl w:val="1"/>
        <w:rPr>
          <w:rFonts w:cs="Arial" w:asciiTheme="minorEastAsia" w:hAnsiTheme="minorEastAsia" w:eastAsiaTheme="minorEastAsia"/>
          <w:b/>
          <w:lang w:eastAsia="zh-CN"/>
        </w:rPr>
      </w:pPr>
      <w:r>
        <w:rPr>
          <w:rFonts w:hint="eastAsia" w:cs="Arial" w:asciiTheme="minorEastAsia" w:hAnsiTheme="minorEastAsia" w:eastAsiaTheme="minorEastAsia"/>
          <w:b/>
          <w:lang w:eastAsia="zh-CN"/>
        </w:rPr>
        <w:t>二、评标程序</w:t>
      </w:r>
      <w:bookmarkEnd w:id="269"/>
      <w:bookmarkEnd w:id="270"/>
      <w:bookmarkEnd w:id="271"/>
      <w:bookmarkEnd w:id="272"/>
      <w:bookmarkEnd w:id="273"/>
      <w:bookmarkEnd w:id="274"/>
      <w:bookmarkEnd w:id="275"/>
      <w:bookmarkEnd w:id="276"/>
    </w:p>
    <w:p>
      <w:pPr>
        <w:spacing w:line="440" w:lineRule="exact"/>
        <w:rPr>
          <w:rFonts w:asciiTheme="minorEastAsia" w:hAnsiTheme="minorEastAsia" w:eastAsiaTheme="minorEastAsia"/>
          <w:b/>
          <w:bCs/>
          <w:lang w:eastAsia="zh-CN"/>
        </w:rPr>
      </w:pPr>
      <w:r>
        <w:rPr>
          <w:rFonts w:asciiTheme="minorEastAsia" w:hAnsiTheme="minorEastAsia" w:eastAsiaTheme="minorEastAsia"/>
          <w:b/>
          <w:bCs/>
          <w:lang w:eastAsia="zh-CN"/>
        </w:rPr>
        <w:t>1</w:t>
      </w:r>
      <w:r>
        <w:rPr>
          <w:rFonts w:hint="eastAsia" w:asciiTheme="minorEastAsia" w:hAnsiTheme="minorEastAsia" w:eastAsiaTheme="minorEastAsia"/>
          <w:b/>
          <w:bCs/>
          <w:lang w:eastAsia="zh-CN"/>
        </w:rPr>
        <w:t>、评标程序：</w:t>
      </w:r>
      <w:r>
        <w:rPr>
          <w:rFonts w:hint="eastAsia" w:asciiTheme="minorEastAsia" w:hAnsiTheme="minorEastAsia" w:eastAsiaTheme="minorEastAsia"/>
          <w:b w:val="0"/>
          <w:bCs w:val="0"/>
          <w:highlight w:val="none"/>
          <w:lang w:eastAsia="zh-CN"/>
        </w:rPr>
        <w:t>评标准备→初审→详细评审→</w:t>
      </w:r>
      <w:r>
        <w:rPr>
          <w:rFonts w:hint="eastAsia" w:asciiTheme="minorEastAsia" w:hAnsiTheme="minorEastAsia" w:eastAsiaTheme="minorEastAsia"/>
          <w:b w:val="0"/>
          <w:bCs w:val="0"/>
          <w:highlight w:val="none"/>
          <w:lang w:val="en-US" w:eastAsia="zh-CN"/>
        </w:rPr>
        <w:t>评审意见</w:t>
      </w:r>
      <w:r>
        <w:rPr>
          <w:rFonts w:hint="eastAsia" w:asciiTheme="minorEastAsia" w:hAnsiTheme="minorEastAsia" w:eastAsiaTheme="minorEastAsia"/>
          <w:b w:val="0"/>
          <w:bCs w:val="0"/>
          <w:highlight w:val="none"/>
          <w:lang w:eastAsia="zh-CN"/>
        </w:rPr>
        <w:t>。</w:t>
      </w:r>
    </w:p>
    <w:p>
      <w:pPr>
        <w:tabs>
          <w:tab w:val="left" w:pos="360"/>
        </w:tabs>
        <w:spacing w:line="440" w:lineRule="exact"/>
        <w:ind w:left="360" w:hanging="360"/>
        <w:rPr>
          <w:rFonts w:asciiTheme="minorEastAsia" w:hAnsiTheme="minorEastAsia" w:eastAsiaTheme="minorEastAsia"/>
          <w:b/>
          <w:bCs/>
          <w:lang w:eastAsia="zh-CN"/>
        </w:rPr>
      </w:pPr>
      <w:r>
        <w:rPr>
          <w:rFonts w:asciiTheme="minorEastAsia" w:hAnsiTheme="minorEastAsia" w:eastAsiaTheme="minorEastAsia"/>
          <w:b/>
          <w:bCs/>
          <w:lang w:eastAsia="zh-CN"/>
        </w:rPr>
        <w:t>2</w:t>
      </w:r>
      <w:r>
        <w:rPr>
          <w:rFonts w:hint="eastAsia" w:asciiTheme="minorEastAsia" w:hAnsiTheme="minorEastAsia" w:eastAsiaTheme="minorEastAsia"/>
          <w:b/>
          <w:bCs/>
          <w:lang w:eastAsia="zh-CN"/>
        </w:rPr>
        <w:t>、评标准备</w:t>
      </w:r>
    </w:p>
    <w:p>
      <w:pPr>
        <w:spacing w:line="440" w:lineRule="exact"/>
        <w:ind w:firstLine="525"/>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）组建评标</w:t>
      </w:r>
      <w:r>
        <w:rPr>
          <w:rFonts w:hint="eastAsia" w:asciiTheme="minorEastAsia" w:hAnsiTheme="minorEastAsia" w:eastAsiaTheme="minorEastAsia"/>
          <w:lang w:val="en-US" w:eastAsia="zh-CN"/>
        </w:rPr>
        <w:t>委员会</w:t>
      </w:r>
      <w:r>
        <w:rPr>
          <w:rFonts w:hint="eastAsia" w:asciiTheme="minorEastAsia" w:hAnsiTheme="minorEastAsia" w:eastAsiaTheme="minorEastAsia"/>
          <w:lang w:eastAsia="zh-CN"/>
        </w:rPr>
        <w:t>，由评标</w:t>
      </w:r>
      <w:r>
        <w:rPr>
          <w:rFonts w:hint="eastAsia" w:asciiTheme="minorEastAsia" w:hAnsiTheme="minorEastAsia" w:eastAsiaTheme="minorEastAsia"/>
          <w:lang w:val="en-US" w:eastAsia="zh-CN"/>
        </w:rPr>
        <w:t>委员会</w:t>
      </w:r>
      <w:r>
        <w:rPr>
          <w:rFonts w:hint="eastAsia" w:asciiTheme="minorEastAsia" w:hAnsiTheme="minorEastAsia" w:eastAsiaTheme="minorEastAsia"/>
          <w:lang w:eastAsia="zh-CN"/>
        </w:rPr>
        <w:t>负责评标工作；</w:t>
      </w:r>
    </w:p>
    <w:p>
      <w:pPr>
        <w:tabs>
          <w:tab w:val="left" w:pos="360"/>
        </w:tabs>
        <w:spacing w:line="440" w:lineRule="exact"/>
        <w:ind w:left="360" w:hanging="360"/>
        <w:rPr>
          <w:rFonts w:asciiTheme="minorEastAsia" w:hAnsiTheme="minorEastAsia" w:eastAsiaTheme="minorEastAsia"/>
          <w:b/>
          <w:bCs/>
          <w:lang w:eastAsia="zh-CN"/>
        </w:rPr>
      </w:pPr>
      <w:r>
        <w:rPr>
          <w:rFonts w:asciiTheme="minorEastAsia" w:hAnsiTheme="minorEastAsia" w:eastAsiaTheme="minorEastAsia"/>
          <w:b/>
          <w:bCs/>
          <w:lang w:eastAsia="zh-CN"/>
        </w:rPr>
        <w:t>3</w:t>
      </w:r>
      <w:r>
        <w:rPr>
          <w:rFonts w:hint="eastAsia" w:asciiTheme="minorEastAsia" w:hAnsiTheme="minorEastAsia" w:eastAsiaTheme="minorEastAsia"/>
          <w:b/>
          <w:bCs/>
          <w:lang w:eastAsia="zh-CN"/>
        </w:rPr>
        <w:t>、初审</w:t>
      </w:r>
    </w:p>
    <w:p>
      <w:pPr>
        <w:spacing w:line="440" w:lineRule="exact"/>
        <w:ind w:firstLine="525"/>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）按照招标文件要求，先对全部投标人文件进行初审。</w:t>
      </w:r>
    </w:p>
    <w:p>
      <w:pPr>
        <w:spacing w:line="360" w:lineRule="auto"/>
        <w:ind w:firstLine="525"/>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）若有一项招标文件中规定的初审指标没有得到响应，则该投标文件将被拒绝。评标委员会将根据初审的结果，进入综合评标。</w:t>
      </w:r>
    </w:p>
    <w:p>
      <w:pPr>
        <w:spacing w:line="360" w:lineRule="auto"/>
        <w:ind w:firstLine="525"/>
        <w:rPr>
          <w:rFonts w:asciiTheme="minorEastAsia" w:hAnsiTheme="minorEastAsia" w:eastAsiaTheme="minorEastAsia"/>
          <w:lang w:eastAsia="zh-CN"/>
        </w:rPr>
      </w:pPr>
      <w:r>
        <w:rPr>
          <w:rFonts w:hint="eastAsia" w:asciiTheme="minorEastAsia" w:hAnsiTheme="minorEastAsia" w:eastAsiaTheme="minorEastAsia"/>
          <w:lang w:eastAsia="zh-CN"/>
        </w:rPr>
        <w:t>评标委员会对投标文件进行符合性审查，如发现下列情况之一，将拒绝其投标：</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(1)投标书、投标报价一览表未按招标文件规定的要求由授权代表签字和加盖公章的；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2</w:t>
      </w:r>
      <w:r>
        <w:rPr>
          <w:rFonts w:hint="eastAsia" w:asciiTheme="minorEastAsia" w:hAnsiTheme="minorEastAsia" w:eastAsiaTheme="minorEastAsia"/>
          <w:b/>
          <w:lang w:eastAsia="zh-CN"/>
        </w:rPr>
        <w:t>)投标有效期不足的；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3</w:t>
      </w:r>
      <w:r>
        <w:rPr>
          <w:rFonts w:hint="eastAsia" w:asciiTheme="minorEastAsia" w:hAnsiTheme="minorEastAsia" w:eastAsiaTheme="minorEastAsia"/>
          <w:b/>
          <w:lang w:eastAsia="zh-CN"/>
        </w:rPr>
        <w:t>)投标人的资格不符合招标文件规定的；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4</w:t>
      </w:r>
      <w:r>
        <w:rPr>
          <w:rFonts w:hint="eastAsia" w:asciiTheme="minorEastAsia" w:hAnsiTheme="minorEastAsia" w:eastAsiaTheme="minorEastAsia"/>
          <w:b/>
          <w:lang w:eastAsia="zh-CN"/>
        </w:rPr>
        <w:t>)投标人递交两份或多份内容不同的投标文件，或在一份投标文件中对同一招标项目报有两个或多个报价，且未声明哪一个有效的；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5</w:t>
      </w:r>
      <w:r>
        <w:rPr>
          <w:rFonts w:hint="eastAsia" w:asciiTheme="minorEastAsia" w:hAnsiTheme="minorEastAsia" w:eastAsiaTheme="minorEastAsia"/>
          <w:b/>
          <w:lang w:eastAsia="zh-CN"/>
        </w:rPr>
        <w:t>)投标报价没有提供报价明细表的；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6</w:t>
      </w:r>
      <w:r>
        <w:rPr>
          <w:rFonts w:hint="eastAsia" w:asciiTheme="minorEastAsia" w:hAnsiTheme="minorEastAsia" w:eastAsiaTheme="minorEastAsia"/>
          <w:b/>
          <w:lang w:eastAsia="zh-CN"/>
        </w:rPr>
        <w:t>)其投标报价超过招标文件规定的招标控制价的；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7</w:t>
      </w:r>
      <w:r>
        <w:rPr>
          <w:rFonts w:hint="eastAsia" w:asciiTheme="minorEastAsia" w:hAnsiTheme="minorEastAsia" w:eastAsiaTheme="minorEastAsia"/>
          <w:b/>
          <w:lang w:eastAsia="zh-CN"/>
        </w:rPr>
        <w:t>)投标文件电子版未按规定要求提交的；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8</w:t>
      </w:r>
      <w:r>
        <w:rPr>
          <w:rFonts w:hint="eastAsia" w:asciiTheme="minorEastAsia" w:hAnsiTheme="minorEastAsia" w:eastAsiaTheme="minorEastAsia"/>
          <w:b/>
          <w:lang w:eastAsia="zh-CN"/>
        </w:rPr>
        <w:t>)投标文件中提供虚假或失实资料的；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9</w:t>
      </w:r>
      <w:r>
        <w:rPr>
          <w:rFonts w:hint="eastAsia" w:asciiTheme="minorEastAsia" w:hAnsiTheme="minorEastAsia" w:eastAsiaTheme="minorEastAsia"/>
          <w:b/>
          <w:lang w:eastAsia="zh-CN"/>
        </w:rPr>
        <w:t>)投标人相互串通投标的；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(1</w:t>
      </w:r>
      <w:r>
        <w:rPr>
          <w:rFonts w:hint="eastAsia" w:asciiTheme="minorEastAsia" w:hAnsiTheme="minorEastAsia" w:eastAsiaTheme="minorEastAsia"/>
          <w:b/>
          <w:lang w:val="en-US" w:eastAsia="zh-CN"/>
        </w:rPr>
        <w:t>0</w:t>
      </w:r>
      <w:r>
        <w:rPr>
          <w:rFonts w:hint="eastAsia" w:asciiTheme="minorEastAsia" w:hAnsiTheme="minorEastAsia" w:eastAsiaTheme="minorEastAsia"/>
          <w:b/>
          <w:lang w:eastAsia="zh-CN"/>
        </w:rPr>
        <w:t>)有实质性偏离、缺陷、条件限制或保留；</w:t>
      </w:r>
    </w:p>
    <w:p>
      <w:pPr>
        <w:tabs>
          <w:tab w:val="left" w:pos="1440"/>
        </w:tabs>
        <w:spacing w:line="360" w:lineRule="auto"/>
        <w:ind w:left="440" w:leftChars="200" w:firstLine="4" w:firstLineChars="2"/>
        <w:rPr>
          <w:rFonts w:asciiTheme="minorEastAsia" w:hAnsiTheme="minorEastAsia" w:eastAsiaTheme="minorEastAsia"/>
          <w:lang w:eastAsia="zh-CN"/>
        </w:rPr>
      </w:pPr>
      <w:r>
        <w:rPr>
          <w:rFonts w:asciiTheme="minorEastAsia" w:hAnsiTheme="minorEastAsia" w:eastAsiaTheme="minorEastAsia"/>
          <w:lang w:eastAsia="zh-CN"/>
        </w:rPr>
        <w:t>说明：有下列情形之一的，视为投标人相互串通投标：</w:t>
      </w:r>
      <w:r>
        <w:rPr>
          <w:rFonts w:asciiTheme="minorEastAsia" w:hAnsiTheme="minorEastAsia" w:eastAsiaTheme="minorEastAsia"/>
          <w:lang w:eastAsia="zh-CN"/>
        </w:rPr>
        <w:br w:type="textWrapping"/>
      </w:r>
      <w:r>
        <w:rPr>
          <w:rFonts w:hint="eastAsia" w:asciiTheme="minorEastAsia" w:hAnsiTheme="minorEastAsia" w:eastAsiaTheme="minorEastAsia"/>
          <w:lang w:eastAsia="zh-CN"/>
        </w:rPr>
        <w:t>（a）不同投标人的投标文件由同一单位或者个人编制；</w:t>
      </w:r>
    </w:p>
    <w:p>
      <w:pPr>
        <w:tabs>
          <w:tab w:val="left" w:pos="1440"/>
        </w:tabs>
        <w:spacing w:line="360" w:lineRule="auto"/>
        <w:ind w:left="440" w:leftChars="200" w:firstLine="4" w:firstLineChars="2"/>
        <w:rPr>
          <w:rFonts w:asciiTheme="minorEastAsia" w:hAnsiTheme="minorEastAsia" w:eastAsiaTheme="minorEastAsia"/>
          <w:lang w:eastAsia="zh-CN"/>
        </w:rPr>
      </w:pPr>
      <w:r>
        <w:rPr>
          <w:rFonts w:hint="eastAsia" w:asciiTheme="minorEastAsia" w:hAnsiTheme="minorEastAsia" w:eastAsiaTheme="minorEastAsia"/>
          <w:lang w:eastAsia="zh-CN"/>
        </w:rPr>
        <w:t>（b）不同投标人委托同一单位或者个人办理投标事宜；</w:t>
      </w:r>
    </w:p>
    <w:p>
      <w:pPr>
        <w:tabs>
          <w:tab w:val="left" w:pos="1440"/>
        </w:tabs>
        <w:spacing w:line="360" w:lineRule="auto"/>
        <w:ind w:left="440" w:leftChars="200" w:firstLine="4" w:firstLineChars="2"/>
        <w:rPr>
          <w:rFonts w:asciiTheme="minorEastAsia" w:hAnsiTheme="minorEastAsia" w:eastAsiaTheme="minorEastAsia"/>
          <w:lang w:eastAsia="zh-CN"/>
        </w:rPr>
      </w:pPr>
      <w:r>
        <w:rPr>
          <w:rFonts w:hint="eastAsia" w:asciiTheme="minorEastAsia" w:hAnsiTheme="minorEastAsia" w:eastAsiaTheme="minorEastAsia"/>
          <w:lang w:eastAsia="zh-CN"/>
        </w:rPr>
        <w:t>（c）不同投标人的投标文件载明的项目管理成员为同一人；</w:t>
      </w:r>
    </w:p>
    <w:p>
      <w:pPr>
        <w:tabs>
          <w:tab w:val="left" w:pos="1440"/>
        </w:tabs>
        <w:spacing w:line="360" w:lineRule="auto"/>
        <w:ind w:left="440" w:leftChars="200" w:firstLine="4" w:firstLineChars="2"/>
        <w:rPr>
          <w:rFonts w:asciiTheme="minorEastAsia" w:hAnsiTheme="minorEastAsia" w:eastAsiaTheme="minorEastAsia"/>
          <w:lang w:eastAsia="zh-CN"/>
        </w:rPr>
      </w:pPr>
      <w:r>
        <w:rPr>
          <w:rFonts w:hint="eastAsia" w:asciiTheme="minorEastAsia" w:hAnsiTheme="minorEastAsia" w:eastAsiaTheme="minorEastAsia"/>
          <w:lang w:eastAsia="zh-CN"/>
        </w:rPr>
        <w:t>（d）不同投标人的投标文件异常一致或者投标报价呈规律性差异；</w:t>
      </w:r>
    </w:p>
    <w:p>
      <w:pPr>
        <w:tabs>
          <w:tab w:val="left" w:pos="1440"/>
        </w:tabs>
        <w:spacing w:line="360" w:lineRule="auto"/>
        <w:ind w:left="440" w:leftChars="200" w:firstLine="4" w:firstLineChars="2"/>
        <w:rPr>
          <w:rFonts w:asciiTheme="minorEastAsia" w:hAnsiTheme="minorEastAsia" w:eastAsiaTheme="minorEastAsia"/>
          <w:lang w:eastAsia="zh-CN"/>
        </w:rPr>
      </w:pPr>
      <w:r>
        <w:rPr>
          <w:rFonts w:hint="eastAsia" w:asciiTheme="minorEastAsia" w:hAnsiTheme="minorEastAsia" w:eastAsiaTheme="minorEastAsia"/>
          <w:lang w:eastAsia="zh-CN"/>
        </w:rPr>
        <w:t>（e）不同投标人的投标文件相互混装；</w:t>
      </w:r>
    </w:p>
    <w:p>
      <w:pPr>
        <w:spacing w:line="360" w:lineRule="auto"/>
        <w:ind w:left="440" w:leftChars="200" w:firstLine="4" w:firstLineChars="2"/>
        <w:rPr>
          <w:rFonts w:asciiTheme="minorEastAsia" w:hAnsiTheme="minorEastAsia" w:eastAsiaTheme="minorEastAsia"/>
          <w:lang w:eastAsia="zh-CN"/>
        </w:rPr>
      </w:pPr>
      <w:r>
        <w:rPr>
          <w:rFonts w:hint="eastAsia" w:asciiTheme="minorEastAsia" w:hAnsiTheme="minorEastAsia" w:eastAsiaTheme="minorEastAsia"/>
          <w:lang w:eastAsia="zh-CN"/>
        </w:rPr>
        <w:t>（f）不同投标人的投标保证金从同一单位或者个人的账户转出。</w:t>
      </w:r>
    </w:p>
    <w:p>
      <w:pPr>
        <w:spacing w:line="360" w:lineRule="auto"/>
        <w:rPr>
          <w:rFonts w:asciiTheme="minorEastAsia" w:hAnsiTheme="minorEastAsia" w:eastAsiaTheme="minorEastAsia"/>
          <w:lang w:eastAsia="zh-CN"/>
        </w:rPr>
      </w:pPr>
      <w:r>
        <w:rPr>
          <w:rFonts w:asciiTheme="minorEastAsia" w:hAnsiTheme="minorEastAsia" w:eastAsiaTheme="minorEastAsia"/>
          <w:lang w:eastAsia="zh-CN"/>
        </w:rPr>
        <w:t>初步审查的各项内容中，如有一项没有合格，则视作未对招标文件做出实质性响应而不能通过初步审查，构成无效标。</w:t>
      </w:r>
    </w:p>
    <w:p>
      <w:pPr>
        <w:spacing w:line="360" w:lineRule="auto"/>
        <w:rPr>
          <w:rFonts w:asciiTheme="minorEastAsia" w:hAnsiTheme="minorEastAsia" w:eastAsiaTheme="minorEastAsia"/>
          <w:lang w:eastAsia="zh-CN"/>
        </w:rPr>
      </w:pPr>
      <w:r>
        <w:rPr>
          <w:rFonts w:asciiTheme="minorEastAsia" w:hAnsiTheme="minorEastAsia" w:eastAsiaTheme="minorEastAsia"/>
          <w:lang w:eastAsia="zh-CN"/>
        </w:rPr>
        <w:t>评标委员会将根据初步审查的结果，对通过的投标文件进行详细评审。</w:t>
      </w:r>
    </w:p>
    <w:p>
      <w:pPr>
        <w:tabs>
          <w:tab w:val="left" w:pos="360"/>
        </w:tabs>
        <w:spacing w:line="440" w:lineRule="exact"/>
        <w:ind w:left="360" w:hanging="360"/>
        <w:rPr>
          <w:rFonts w:asciiTheme="minorEastAsia" w:hAnsiTheme="minorEastAsia" w:eastAsiaTheme="minorEastAsia"/>
          <w:b/>
          <w:bCs/>
          <w:lang w:eastAsia="zh-CN"/>
        </w:rPr>
      </w:pPr>
      <w:r>
        <w:rPr>
          <w:rFonts w:asciiTheme="minorEastAsia" w:hAnsiTheme="minorEastAsia" w:eastAsiaTheme="minorEastAsia"/>
          <w:b/>
          <w:bCs/>
          <w:lang w:eastAsia="zh-CN"/>
        </w:rPr>
        <w:t>4</w:t>
      </w:r>
      <w:r>
        <w:rPr>
          <w:rFonts w:hint="eastAsia" w:asciiTheme="minorEastAsia" w:hAnsiTheme="minorEastAsia" w:eastAsiaTheme="minorEastAsia"/>
          <w:b/>
          <w:bCs/>
          <w:lang w:eastAsia="zh-CN"/>
        </w:rPr>
        <w:t>、详细评审</w:t>
      </w:r>
    </w:p>
    <w:p>
      <w:pPr>
        <w:spacing w:line="440" w:lineRule="exact"/>
        <w:ind w:firstLine="525"/>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）评审方式</w:t>
      </w:r>
    </w:p>
    <w:p>
      <w:pPr>
        <w:spacing w:line="440" w:lineRule="exact"/>
        <w:ind w:firstLine="525"/>
        <w:rPr>
          <w:rFonts w:asciiTheme="minorEastAsia" w:hAnsiTheme="minorEastAsia" w:eastAsiaTheme="minorEastAsia"/>
          <w:lang w:eastAsia="zh-CN"/>
        </w:rPr>
      </w:pPr>
      <w:r>
        <w:rPr>
          <w:rFonts w:hint="eastAsia" w:asciiTheme="minorEastAsia" w:hAnsiTheme="minorEastAsia" w:eastAsiaTheme="minorEastAsia"/>
          <w:lang w:eastAsia="zh-CN"/>
        </w:rPr>
        <w:t>评标</w:t>
      </w:r>
      <w:r>
        <w:rPr>
          <w:rFonts w:hint="eastAsia" w:asciiTheme="minorEastAsia" w:hAnsiTheme="minorEastAsia" w:eastAsiaTheme="minorEastAsia"/>
          <w:lang w:val="en-US" w:eastAsia="zh-CN"/>
        </w:rPr>
        <w:t>委员会</w:t>
      </w:r>
      <w:r>
        <w:rPr>
          <w:rFonts w:hint="eastAsia" w:asciiTheme="minorEastAsia" w:hAnsiTheme="minorEastAsia" w:eastAsiaTheme="minorEastAsia"/>
          <w:lang w:eastAsia="zh-CN"/>
        </w:rPr>
        <w:t>对投标文件中的商务和技术部分进行综合评定，确定投标人对招标文件的响应情况，然后采用百分制打分的办法，按分值的高低顺序，评定出中标候选人。分值计算保留小数点后两位，第三位四舍五入。</w:t>
      </w:r>
    </w:p>
    <w:p>
      <w:pPr>
        <w:spacing w:line="440" w:lineRule="exact"/>
        <w:ind w:firstLine="525"/>
        <w:rPr>
          <w:rFonts w:asciiTheme="minorEastAsia" w:hAnsiTheme="minorEastAsia" w:eastAsiaTheme="minorEastAsia"/>
          <w:lang w:eastAsia="zh-CN"/>
        </w:rPr>
      </w:pPr>
      <w:r>
        <w:rPr>
          <w:rFonts w:hint="eastAsia" w:asciiTheme="minorEastAsia" w:hAnsiTheme="minorEastAsia" w:eastAsiaTheme="minorEastAsia"/>
          <w:lang w:eastAsia="zh-CN"/>
        </w:rPr>
        <w:t>所有评委都将对商务文件以及技术文件进行打分，然后再综合汇总。评标时，首先各评委根据自己的打分分别填写“</w:t>
      </w:r>
      <w:r>
        <w:rPr>
          <w:rFonts w:hint="eastAsia" w:asciiTheme="minorEastAsia" w:hAnsiTheme="minorEastAsia" w:eastAsiaTheme="minorEastAsia"/>
          <w:lang w:val="en-US" w:eastAsia="zh-CN"/>
        </w:rPr>
        <w:t>报价评分表</w:t>
      </w:r>
      <w:r>
        <w:rPr>
          <w:rFonts w:hint="eastAsia" w:asciiTheme="minorEastAsia" w:hAnsiTheme="minorEastAsia" w:eastAsiaTheme="minorEastAsia"/>
          <w:lang w:eastAsia="zh-CN"/>
        </w:rPr>
        <w:t>”、“技术评分表”和“商务评分表”，然后由工作人员将“</w:t>
      </w:r>
      <w:r>
        <w:rPr>
          <w:rFonts w:hint="eastAsia" w:asciiTheme="minorEastAsia" w:hAnsiTheme="minorEastAsia" w:eastAsiaTheme="minorEastAsia"/>
          <w:lang w:val="en-US" w:eastAsia="zh-CN"/>
        </w:rPr>
        <w:t>报价评分表</w:t>
      </w:r>
      <w:r>
        <w:rPr>
          <w:rFonts w:hint="eastAsia" w:asciiTheme="minorEastAsia" w:hAnsiTheme="minorEastAsia" w:eastAsiaTheme="minorEastAsia"/>
          <w:lang w:eastAsia="zh-CN"/>
        </w:rPr>
        <w:t>”、“技术评分表”和“商务评分表”集中统计得出“评分汇总表”，并依据投标人得分确定其排名次序。</w:t>
      </w:r>
    </w:p>
    <w:p>
      <w:pPr>
        <w:spacing w:line="440" w:lineRule="exact"/>
        <w:ind w:firstLine="525"/>
        <w:rPr>
          <w:rFonts w:asciiTheme="minorEastAsia" w:hAnsiTheme="minorEastAsia" w:eastAsiaTheme="minorEastAsia"/>
          <w:lang w:eastAsia="zh-CN"/>
        </w:rPr>
      </w:pPr>
      <w:r>
        <w:rPr>
          <w:rFonts w:hint="eastAsia" w:asciiTheme="minorEastAsia" w:hAnsiTheme="minorEastAsia" w:eastAsiaTheme="minorEastAsia"/>
          <w:lang w:eastAsia="zh-CN"/>
        </w:rPr>
        <w:t>在分数相同的情况下，</w:t>
      </w:r>
      <w:r>
        <w:rPr>
          <w:rFonts w:hint="eastAsia" w:asciiTheme="minorEastAsia" w:hAnsiTheme="minorEastAsia" w:eastAsiaTheme="minorEastAsia"/>
          <w:lang w:val="en-US" w:eastAsia="zh-CN"/>
        </w:rPr>
        <w:t>商务评分较高的</w:t>
      </w:r>
      <w:r>
        <w:rPr>
          <w:rFonts w:hint="eastAsia" w:asciiTheme="minorEastAsia" w:hAnsiTheme="minorEastAsia" w:eastAsiaTheme="minorEastAsia"/>
          <w:lang w:eastAsia="zh-CN"/>
        </w:rPr>
        <w:t>投标人排名优先。“评分汇总表”应由所有评委核实并签字确认。</w:t>
      </w:r>
    </w:p>
    <w:p>
      <w:pPr>
        <w:tabs>
          <w:tab w:val="left" w:pos="360"/>
        </w:tabs>
        <w:spacing w:line="440" w:lineRule="exact"/>
        <w:ind w:left="360" w:hanging="360"/>
        <w:rPr>
          <w:rFonts w:hint="default" w:asciiTheme="minorEastAsia" w:hAnsiTheme="minorEastAsia" w:eastAsiaTheme="minorEastAsia"/>
          <w:b/>
          <w:bCs/>
          <w:highlight w:val="none"/>
          <w:lang w:val="en-US" w:eastAsia="zh-CN"/>
        </w:rPr>
      </w:pPr>
      <w:r>
        <w:rPr>
          <w:rFonts w:asciiTheme="minorEastAsia" w:hAnsiTheme="minorEastAsia" w:eastAsiaTheme="minorEastAsia"/>
          <w:b/>
          <w:bCs/>
          <w:highlight w:val="none"/>
          <w:lang w:eastAsia="zh-CN"/>
        </w:rPr>
        <w:t>5</w:t>
      </w:r>
      <w:r>
        <w:rPr>
          <w:rFonts w:hint="eastAsia" w:asciiTheme="minorEastAsia" w:hAnsiTheme="minorEastAsia" w:eastAsiaTheme="minorEastAsia"/>
          <w:b/>
          <w:bCs/>
          <w:highlight w:val="none"/>
          <w:lang w:eastAsia="zh-CN"/>
        </w:rPr>
        <w:t>、</w:t>
      </w:r>
      <w:r>
        <w:rPr>
          <w:rFonts w:hint="eastAsia" w:asciiTheme="minorEastAsia" w:hAnsiTheme="minorEastAsia" w:eastAsiaTheme="minorEastAsia"/>
          <w:b/>
          <w:bCs/>
          <w:highlight w:val="none"/>
          <w:lang w:val="en-US" w:eastAsia="zh-CN"/>
        </w:rPr>
        <w:t>评审意见</w:t>
      </w:r>
    </w:p>
    <w:p>
      <w:pPr>
        <w:spacing w:line="440" w:lineRule="exact"/>
        <w:ind w:firstLine="525"/>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r>
        <w:rPr>
          <w:rFonts w:asciiTheme="minorEastAsia" w:hAnsiTheme="minorEastAsia" w:eastAsiaTheme="minorEastAsia"/>
          <w:highlight w:val="none"/>
          <w:lang w:eastAsia="zh-CN"/>
        </w:rPr>
        <w:t>1</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评标委员会</w:t>
      </w:r>
      <w:r>
        <w:rPr>
          <w:rFonts w:hint="eastAsia" w:asciiTheme="minorEastAsia" w:hAnsiTheme="minorEastAsia" w:eastAsiaTheme="minorEastAsia"/>
          <w:highlight w:val="none"/>
          <w:lang w:eastAsia="zh-CN"/>
        </w:rPr>
        <w:t>对评标结果进行总结，出具</w:t>
      </w:r>
      <w:r>
        <w:rPr>
          <w:rFonts w:hint="eastAsia" w:asciiTheme="minorEastAsia" w:hAnsiTheme="minorEastAsia" w:eastAsiaTheme="minorEastAsia"/>
          <w:highlight w:val="none"/>
          <w:lang w:val="en-US" w:eastAsia="zh-CN"/>
        </w:rPr>
        <w:t>评审意见</w:t>
      </w:r>
      <w:r>
        <w:rPr>
          <w:rFonts w:hint="eastAsia" w:asciiTheme="minorEastAsia" w:hAnsiTheme="minorEastAsia" w:eastAsiaTheme="minorEastAsia"/>
          <w:highlight w:val="none"/>
          <w:lang w:eastAsia="zh-CN"/>
        </w:rPr>
        <w:t>。</w:t>
      </w:r>
    </w:p>
    <w:p>
      <w:pPr>
        <w:spacing w:line="360" w:lineRule="auto"/>
        <w:ind w:firstLine="525"/>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r>
        <w:rPr>
          <w:rFonts w:asciiTheme="minorEastAsia" w:hAnsiTheme="minorEastAsia" w:eastAsiaTheme="minorEastAsia"/>
          <w:highlight w:val="none"/>
          <w:lang w:eastAsia="zh-CN"/>
        </w:rPr>
        <w:t>2</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评审意见</w:t>
      </w:r>
      <w:r>
        <w:rPr>
          <w:rFonts w:hint="eastAsia" w:asciiTheme="minorEastAsia" w:hAnsiTheme="minorEastAsia" w:eastAsiaTheme="minorEastAsia"/>
          <w:highlight w:val="none"/>
          <w:lang w:eastAsia="zh-CN"/>
        </w:rPr>
        <w:t>应经</w:t>
      </w:r>
      <w:r>
        <w:rPr>
          <w:rFonts w:hint="eastAsia" w:asciiTheme="minorEastAsia" w:hAnsiTheme="minorEastAsia" w:eastAsiaTheme="minorEastAsia"/>
          <w:highlight w:val="none"/>
          <w:lang w:val="en-US" w:eastAsia="zh-CN"/>
        </w:rPr>
        <w:t>评标委员会全体</w:t>
      </w:r>
      <w:r>
        <w:rPr>
          <w:rFonts w:hint="eastAsia" w:asciiTheme="minorEastAsia" w:hAnsiTheme="minorEastAsia" w:eastAsiaTheme="minorEastAsia"/>
          <w:highlight w:val="none"/>
          <w:lang w:eastAsia="zh-CN"/>
        </w:rPr>
        <w:t>成员签字生效。如果有评委不同意该</w:t>
      </w:r>
      <w:r>
        <w:rPr>
          <w:rFonts w:hint="eastAsia" w:asciiTheme="minorEastAsia" w:hAnsiTheme="minorEastAsia" w:eastAsiaTheme="minorEastAsia"/>
          <w:highlight w:val="none"/>
          <w:lang w:val="en-US" w:eastAsia="zh-CN"/>
        </w:rPr>
        <w:t>评审意见</w:t>
      </w:r>
      <w:r>
        <w:rPr>
          <w:rFonts w:hint="eastAsia" w:asciiTheme="minorEastAsia" w:hAnsiTheme="minorEastAsia" w:eastAsiaTheme="minorEastAsia"/>
          <w:highlight w:val="none"/>
          <w:lang w:eastAsia="zh-CN"/>
        </w:rPr>
        <w:t>，可随该</w:t>
      </w:r>
      <w:r>
        <w:rPr>
          <w:rFonts w:hint="eastAsia" w:asciiTheme="minorEastAsia" w:hAnsiTheme="minorEastAsia" w:eastAsiaTheme="minorEastAsia"/>
          <w:highlight w:val="none"/>
          <w:lang w:val="en-US" w:eastAsia="zh-CN"/>
        </w:rPr>
        <w:t>意见</w:t>
      </w:r>
      <w:r>
        <w:rPr>
          <w:rFonts w:hint="eastAsia" w:asciiTheme="minorEastAsia" w:hAnsiTheme="minorEastAsia" w:eastAsiaTheme="minorEastAsia"/>
          <w:highlight w:val="none"/>
          <w:lang w:eastAsia="zh-CN"/>
        </w:rPr>
        <w:t>提交一份说明，详细阐述自己的意见和理由。</w:t>
      </w:r>
    </w:p>
    <w:p>
      <w:pPr>
        <w:tabs>
          <w:tab w:val="left" w:pos="360"/>
        </w:tabs>
        <w:spacing w:line="360" w:lineRule="auto"/>
        <w:ind w:left="360" w:hanging="360"/>
        <w:rPr>
          <w:rFonts w:asciiTheme="minorEastAsia" w:hAnsiTheme="minorEastAsia" w:eastAsiaTheme="minorEastAsia"/>
          <w:b/>
          <w:bCs/>
          <w:lang w:eastAsia="zh-CN"/>
        </w:rPr>
      </w:pPr>
      <w:r>
        <w:rPr>
          <w:rFonts w:asciiTheme="minorEastAsia" w:hAnsiTheme="minorEastAsia" w:eastAsiaTheme="minorEastAsia"/>
          <w:b/>
          <w:bCs/>
          <w:lang w:eastAsia="zh-CN"/>
        </w:rPr>
        <w:t>6</w:t>
      </w:r>
      <w:r>
        <w:rPr>
          <w:rFonts w:hint="eastAsia" w:asciiTheme="minorEastAsia" w:hAnsiTheme="minorEastAsia" w:eastAsiaTheme="minorEastAsia"/>
          <w:b/>
          <w:bCs/>
          <w:lang w:eastAsia="zh-CN"/>
        </w:rPr>
        <w:t>、评标决议</w:t>
      </w:r>
    </w:p>
    <w:p>
      <w:pPr>
        <w:spacing w:line="360" w:lineRule="auto"/>
        <w:rPr>
          <w:rFonts w:asciiTheme="minorEastAsia" w:hAnsiTheme="minorEastAsia" w:eastAsiaTheme="minorEastAsia"/>
          <w:lang w:eastAsia="zh-CN"/>
        </w:rPr>
      </w:pPr>
      <w:r>
        <w:rPr>
          <w:rFonts w:asciiTheme="minorEastAsia" w:hAnsiTheme="minorEastAsia" w:eastAsiaTheme="minorEastAsia"/>
          <w:lang w:eastAsia="zh-CN"/>
        </w:rPr>
        <w:tab/>
      </w:r>
      <w:r>
        <w:rPr>
          <w:rFonts w:hint="eastAsia" w:asciiTheme="minorEastAsia" w:hAnsiTheme="minorEastAsia" w:eastAsiaTheme="minorEastAsia"/>
          <w:lang w:eastAsia="zh-CN"/>
        </w:rPr>
        <w:t>在评标过程中</w:t>
      </w:r>
      <w:r>
        <w:rPr>
          <w:rFonts w:hint="eastAsia" w:asciiTheme="minorEastAsia" w:hAnsiTheme="minorEastAsia" w:eastAsiaTheme="minorEastAsia"/>
          <w:lang w:val="en-US" w:eastAsia="zh-CN"/>
        </w:rPr>
        <w:t>评委</w:t>
      </w:r>
      <w:r>
        <w:rPr>
          <w:rFonts w:hint="eastAsia" w:asciiTheme="minorEastAsia" w:hAnsiTheme="minorEastAsia" w:eastAsiaTheme="minorEastAsia"/>
          <w:lang w:eastAsia="zh-CN"/>
        </w:rPr>
        <w:t>出现分歧或须进行讨论形成决议时，应</w:t>
      </w:r>
      <w:r>
        <w:rPr>
          <w:rFonts w:hint="eastAsia" w:asciiTheme="minorEastAsia" w:hAnsiTheme="minorEastAsia" w:eastAsiaTheme="minorEastAsia"/>
          <w:lang w:val="en-US" w:eastAsia="zh-CN"/>
        </w:rPr>
        <w:t>在</w:t>
      </w:r>
      <w:r>
        <w:rPr>
          <w:rFonts w:hint="eastAsia" w:asciiTheme="minorEastAsia" w:hAnsiTheme="minorEastAsia" w:eastAsiaTheme="minorEastAsia"/>
          <w:lang w:eastAsia="zh-CN"/>
        </w:rPr>
        <w:t>各评委充分讨论沟通的基础上，进行自由记名投票表决，决议必须有不少于</w:t>
      </w:r>
      <w:r>
        <w:rPr>
          <w:rFonts w:hint="eastAsia" w:asciiTheme="minorEastAsia" w:hAnsiTheme="minorEastAsia" w:eastAsiaTheme="minorEastAsia"/>
          <w:lang w:val="en-US" w:eastAsia="zh-CN"/>
        </w:rPr>
        <w:t>评标委员会成员</w:t>
      </w:r>
      <w:r>
        <w:rPr>
          <w:rFonts w:hint="eastAsia" w:asciiTheme="minorEastAsia" w:hAnsiTheme="minorEastAsia" w:eastAsiaTheme="minorEastAsia"/>
          <w:lang w:eastAsia="zh-CN"/>
        </w:rPr>
        <w:t>总数的</w:t>
      </w:r>
      <w:r>
        <w:rPr>
          <w:rFonts w:asciiTheme="minorEastAsia" w:hAnsiTheme="minorEastAsia" w:eastAsiaTheme="minorEastAsia"/>
          <w:lang w:eastAsia="zh-CN"/>
        </w:rPr>
        <w:t>2/3</w:t>
      </w:r>
      <w:r>
        <w:rPr>
          <w:rFonts w:hint="eastAsia" w:asciiTheme="minorEastAsia" w:hAnsiTheme="minorEastAsia" w:eastAsiaTheme="minorEastAsia"/>
          <w:lang w:eastAsia="zh-CN"/>
        </w:rPr>
        <w:t>的赞成方可通过。</w:t>
      </w:r>
    </w:p>
    <w:p>
      <w:pPr>
        <w:keepNext/>
        <w:keepLines/>
        <w:spacing w:before="260" w:after="260" w:line="415" w:lineRule="auto"/>
        <w:jc w:val="center"/>
        <w:outlineLvl w:val="1"/>
        <w:rPr>
          <w:rFonts w:cs="Arial" w:asciiTheme="minorEastAsia" w:hAnsiTheme="minorEastAsia" w:eastAsiaTheme="minorEastAsia"/>
          <w:b/>
          <w:lang w:eastAsia="zh-CN"/>
        </w:rPr>
      </w:pPr>
      <w:bookmarkStart w:id="277" w:name="_Toc324152539"/>
      <w:bookmarkStart w:id="278" w:name="_Toc236555318"/>
      <w:bookmarkStart w:id="279" w:name="_Toc3290"/>
      <w:bookmarkStart w:id="280" w:name="_Toc411245430"/>
      <w:bookmarkStart w:id="281" w:name="_Toc465350716"/>
      <w:r>
        <w:rPr>
          <w:rFonts w:hint="eastAsia" w:cs="Arial" w:asciiTheme="minorEastAsia" w:hAnsiTheme="minorEastAsia" w:eastAsiaTheme="minorEastAsia"/>
          <w:b/>
          <w:lang w:eastAsia="zh-CN"/>
        </w:rPr>
        <w:t>三、评分标准</w:t>
      </w:r>
      <w:bookmarkEnd w:id="277"/>
      <w:bookmarkEnd w:id="278"/>
      <w:bookmarkEnd w:id="279"/>
      <w:bookmarkEnd w:id="280"/>
      <w:bookmarkEnd w:id="281"/>
    </w:p>
    <w:p>
      <w:pPr>
        <w:tabs>
          <w:tab w:val="left" w:pos="420"/>
        </w:tabs>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一、投标人的资格条件：</w:t>
      </w:r>
    </w:p>
    <w:p>
      <w:pPr>
        <w:adjustRightInd w:val="0"/>
        <w:snapToGrid w:val="0"/>
        <w:spacing w:line="360" w:lineRule="auto"/>
        <w:rPr>
          <w:rFonts w:hint="eastAsia" w:ascii="宋体" w:hAnsi="宋体" w:cs="宋体"/>
          <w:szCs w:val="21"/>
        </w:rPr>
      </w:pPr>
      <w:r>
        <w:rPr>
          <w:rFonts w:hint="eastAsia" w:ascii="宋体" w:hAnsi="宋体" w:cs="宋体"/>
          <w:szCs w:val="21"/>
        </w:rPr>
        <w:t>凡具备《中华人民共和国政府采购法》第二十二条第一款的条件、有能力提供本投标文件所述货物及服务的境内供货商或制造商均可能成为合格的供应商。供应商须提交以下有效证明文件：</w:t>
      </w:r>
    </w:p>
    <w:p>
      <w:pPr>
        <w:adjustRightInd w:val="0"/>
        <w:snapToGrid w:val="0"/>
        <w:spacing w:line="360" w:lineRule="auto"/>
        <w:rPr>
          <w:rFonts w:hint="eastAsia" w:ascii="宋体" w:hAnsi="宋体" w:cs="宋体"/>
          <w:szCs w:val="21"/>
        </w:rPr>
      </w:pPr>
      <w:r>
        <w:rPr>
          <w:rFonts w:hint="eastAsia" w:ascii="宋体" w:hAnsi="宋体" w:cs="宋体"/>
          <w:szCs w:val="21"/>
        </w:rPr>
        <w:t>（1）投标函。</w:t>
      </w:r>
    </w:p>
    <w:p>
      <w:pPr>
        <w:adjustRightInd w:val="0"/>
        <w:snapToGrid w:val="0"/>
        <w:spacing w:line="360" w:lineRule="auto"/>
        <w:rPr>
          <w:rFonts w:hint="eastAsia" w:ascii="宋体" w:hAnsi="宋体" w:cs="宋体"/>
          <w:szCs w:val="21"/>
        </w:rPr>
      </w:pPr>
      <w:r>
        <w:rPr>
          <w:rFonts w:hint="eastAsia" w:ascii="宋体" w:hAnsi="宋体" w:cs="宋体"/>
          <w:szCs w:val="21"/>
        </w:rPr>
        <w:t>（2）单位负责人授权书（法定代表人和投标代表人身份证复印件）。</w:t>
      </w:r>
    </w:p>
    <w:p>
      <w:pPr>
        <w:adjustRightInd w:val="0"/>
        <w:snapToGrid w:val="0"/>
        <w:spacing w:line="360" w:lineRule="auto"/>
        <w:rPr>
          <w:rFonts w:hint="eastAsia" w:ascii="宋体" w:hAnsi="宋体" w:cs="宋体"/>
          <w:szCs w:val="21"/>
        </w:rPr>
      </w:pPr>
      <w:r>
        <w:rPr>
          <w:rFonts w:hint="eastAsia" w:ascii="宋体" w:hAnsi="宋体" w:cs="宋体"/>
          <w:szCs w:val="21"/>
        </w:rPr>
        <w:t>（3）法人或者其他组织的营业执照等证明文件，自然人的身份证明。</w:t>
      </w:r>
    </w:p>
    <w:p>
      <w:pPr>
        <w:adjustRightInd w:val="0"/>
        <w:snapToGrid w:val="0"/>
        <w:spacing w:line="360" w:lineRule="auto"/>
        <w:rPr>
          <w:rFonts w:hint="eastAsia" w:ascii="宋体" w:hAnsi="宋体" w:cs="宋体"/>
          <w:szCs w:val="21"/>
        </w:rPr>
      </w:pPr>
      <w:r>
        <w:rPr>
          <w:rFonts w:hint="eastAsia" w:ascii="宋体" w:hAnsi="宋体" w:cs="宋体"/>
          <w:szCs w:val="21"/>
        </w:rPr>
        <w:t>（4）提供上一年度或上一季度财务报告，至少包括“资产负债表、利润表、现金流量表”；或者提供开户许可证和投标截止时间前六个月内基本开户银行出具的资信证明；或者提供财政部门认可的政府采购专业担保机构出具的投标担保函。</w:t>
      </w:r>
    </w:p>
    <w:p>
      <w:pPr>
        <w:adjustRightInd w:val="0"/>
        <w:snapToGrid w:val="0"/>
        <w:spacing w:line="360" w:lineRule="auto"/>
        <w:rPr>
          <w:rFonts w:hint="eastAsia" w:ascii="宋体" w:hAnsi="宋体" w:cs="宋体"/>
          <w:szCs w:val="21"/>
        </w:rPr>
      </w:pPr>
      <w:r>
        <w:rPr>
          <w:rFonts w:hint="eastAsia" w:ascii="宋体" w:hAnsi="宋体" w:cs="宋体"/>
          <w:szCs w:val="21"/>
        </w:rPr>
        <w:t>（5）提供投标截止时间前六个月任一个月的依法缴纳税收的凭据；或者提供依法免税的相应证明文件。</w:t>
      </w:r>
    </w:p>
    <w:p>
      <w:pPr>
        <w:adjustRightInd w:val="0"/>
        <w:snapToGrid w:val="0"/>
        <w:spacing w:line="360" w:lineRule="auto"/>
        <w:rPr>
          <w:rFonts w:hint="eastAsia" w:ascii="宋体" w:hAnsi="宋体" w:cs="宋体"/>
          <w:szCs w:val="21"/>
        </w:rPr>
      </w:pPr>
      <w:r>
        <w:rPr>
          <w:rFonts w:hint="eastAsia" w:ascii="宋体" w:hAnsi="宋体" w:cs="宋体"/>
          <w:szCs w:val="21"/>
        </w:rPr>
        <w:t>（6）提供投标截止时间前六个月任一个月的依法缴纳社会保障资金的凭据；或者提供依法不需要缴纳社会保障资金的相应证明文件。</w:t>
      </w:r>
    </w:p>
    <w:p>
      <w:pPr>
        <w:adjustRightInd w:val="0"/>
        <w:snapToGrid w:val="0"/>
        <w:spacing w:line="360" w:lineRule="auto"/>
        <w:rPr>
          <w:rFonts w:ascii="宋体" w:hAnsi="宋体" w:cs="宋体"/>
          <w:szCs w:val="21"/>
        </w:rPr>
      </w:pPr>
      <w:r>
        <w:rPr>
          <w:rFonts w:hint="eastAsia" w:ascii="宋体" w:hAnsi="宋体" w:cs="宋体"/>
          <w:szCs w:val="21"/>
        </w:rPr>
        <w:t>（7）具有履行合同所必需的设备和专业技术能力，投标公司必须具备 2019年至今已完成单场 5万平米及以上展览面积的展会主场及氛围项目服务经验。</w:t>
      </w:r>
    </w:p>
    <w:p>
      <w:pPr>
        <w:adjustRightInd w:val="0"/>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）单位负责人为同一人或者存在控股、管理关系的不同单位，不得参加同一标段或者未划分标段的同一招标项目投标</w:t>
      </w:r>
    </w:p>
    <w:p>
      <w:pPr>
        <w:adjustRightInd w:val="0"/>
        <w:snapToGrid w:val="0"/>
        <w:spacing w:line="360" w:lineRule="auto"/>
        <w:rPr>
          <w:rFonts w:hint="eastAsia" w:ascii="宋体" w:hAnsi="宋体" w:cs="宋体"/>
          <w:szCs w:val="21"/>
        </w:rPr>
      </w:pPr>
      <w:r>
        <w:rPr>
          <w:rFonts w:hint="eastAsia" w:ascii="宋体" w:hAnsi="宋体" w:cs="宋体"/>
          <w:szCs w:val="21"/>
        </w:rPr>
        <w:t>（9）本次招标不接受联合体投标。</w:t>
      </w:r>
    </w:p>
    <w:p>
      <w:pPr>
        <w:adjustRightInd w:val="0"/>
        <w:snapToGrid w:val="0"/>
        <w:spacing w:line="360" w:lineRule="auto"/>
        <w:rPr>
          <w:rFonts w:hint="eastAsia" w:ascii="宋体" w:hAnsi="宋体" w:cs="宋体"/>
        </w:rPr>
      </w:pPr>
      <w:r>
        <w:rPr>
          <w:rFonts w:hint="eastAsia" w:ascii="宋体" w:hAnsi="宋体" w:cs="宋体"/>
          <w:szCs w:val="21"/>
        </w:rPr>
        <w:t>以上所有资格证明文件必须同时满足，若有一项审核未通过视为没有实质性响应招标文件要求，按无效投标处理。提供的所有资格类文件资料应是有效、清晰。复印件加盖投标人公章，否则无效，原件备查。评标委员会对投标人所提供的资格类文件仅负审核责任。即使投标人所提交的资格类文件通过了审核，在评标过程中乃至确定中标人后，如发现投标人所提供的资格类文件不合法或不真实，仍可废除中标人中标资格并追究其法律责任。</w:t>
      </w:r>
    </w:p>
    <w:p>
      <w:pPr>
        <w:numPr>
          <w:ilvl w:val="0"/>
          <w:numId w:val="34"/>
        </w:numPr>
        <w:rPr>
          <w:rFonts w:asciiTheme="minorEastAsia" w:hAnsiTheme="minorEastAsia" w:eastAsiaTheme="minorEastAsia"/>
        </w:rPr>
      </w:pPr>
      <w:r>
        <w:rPr>
          <w:rFonts w:hint="eastAsia" w:asciiTheme="minorEastAsia" w:hAnsiTheme="minorEastAsia" w:eastAsiaTheme="minorEastAsia"/>
        </w:rPr>
        <w:t>评分办法</w:t>
      </w:r>
    </w:p>
    <w:p>
      <w:pPr>
        <w:rPr>
          <w:rFonts w:asciiTheme="minorEastAsia" w:hAnsiTheme="minorEastAsia" w:eastAsiaTheme="minorEastAsia"/>
          <w:lang w:eastAsia="zh-CN"/>
        </w:rPr>
      </w:pPr>
      <w:r>
        <w:rPr>
          <w:rFonts w:hint="eastAsia" w:asciiTheme="minorEastAsia" w:hAnsiTheme="minorEastAsia" w:eastAsiaTheme="minorEastAsia"/>
          <w:lang w:eastAsia="zh-CN"/>
        </w:rPr>
        <w:t>1、分值构成</w:t>
      </w:r>
    </w:p>
    <w:tbl>
      <w:tblPr>
        <w:tblStyle w:val="38"/>
        <w:tblW w:w="10578" w:type="dxa"/>
        <w:tblInd w:w="-6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701"/>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054" w:type="dxa"/>
          </w:tcPr>
          <w:p>
            <w:pPr>
              <w:spacing w:line="440" w:lineRule="exact"/>
              <w:rPr>
                <w:rFonts w:asciiTheme="minorEastAsia" w:hAnsiTheme="minorEastAsia" w:eastAsiaTheme="minorEastAsia"/>
                <w:b/>
              </w:rPr>
            </w:pPr>
            <w:r>
              <w:rPr>
                <w:rFonts w:asciiTheme="minorEastAsia" w:hAnsiTheme="minorEastAsia" w:eastAsiaTheme="minorEastAsia"/>
                <w:b/>
              </w:rPr>
              <w:t>条款号</w:t>
            </w:r>
          </w:p>
        </w:tc>
        <w:tc>
          <w:tcPr>
            <w:tcW w:w="1701" w:type="dxa"/>
          </w:tcPr>
          <w:p>
            <w:pPr>
              <w:spacing w:line="440" w:lineRule="exact"/>
              <w:rPr>
                <w:rFonts w:asciiTheme="minorEastAsia" w:hAnsiTheme="minorEastAsia" w:eastAsiaTheme="minorEastAsia"/>
                <w:b/>
              </w:rPr>
            </w:pPr>
            <w:r>
              <w:rPr>
                <w:rFonts w:asciiTheme="minorEastAsia" w:hAnsiTheme="minorEastAsia" w:eastAsiaTheme="minorEastAsia"/>
                <w:b/>
              </w:rPr>
              <w:t>条款内容</w:t>
            </w:r>
          </w:p>
        </w:tc>
        <w:tc>
          <w:tcPr>
            <w:tcW w:w="7823" w:type="dxa"/>
          </w:tcPr>
          <w:p>
            <w:pPr>
              <w:spacing w:line="440" w:lineRule="exact"/>
              <w:rPr>
                <w:rFonts w:asciiTheme="minorEastAsia" w:hAnsiTheme="minorEastAsia" w:eastAsiaTheme="minorEastAsia"/>
                <w:b/>
              </w:rPr>
            </w:pPr>
            <w:r>
              <w:rPr>
                <w:rFonts w:asciiTheme="minorEastAsia" w:hAnsiTheme="minorEastAsia" w:eastAsiaTheme="minorEastAsia"/>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54" w:type="dxa"/>
          </w:tcPr>
          <w:p>
            <w:pPr>
              <w:spacing w:line="440" w:lineRule="exact"/>
              <w:rPr>
                <w:rFonts w:asciiTheme="minorEastAsia" w:hAnsiTheme="minorEastAsia" w:eastAsiaTheme="minorEastAsia"/>
              </w:rPr>
            </w:pPr>
            <w:r>
              <w:rPr>
                <w:rFonts w:hint="eastAsia" w:asciiTheme="minorEastAsia" w:hAnsiTheme="minorEastAsia" w:eastAsiaTheme="minorEastAsia"/>
              </w:rPr>
              <w:t>1</w:t>
            </w:r>
          </w:p>
        </w:tc>
        <w:tc>
          <w:tcPr>
            <w:tcW w:w="1701" w:type="dxa"/>
            <w:vAlign w:val="center"/>
          </w:tcPr>
          <w:p>
            <w:pPr>
              <w:adjustRightInd w:val="0"/>
              <w:snapToGrid w:val="0"/>
              <w:textAlignment w:val="baseline"/>
              <w:rPr>
                <w:rFonts w:asciiTheme="minorEastAsia" w:hAnsiTheme="minorEastAsia" w:eastAsiaTheme="minorEastAsia"/>
              </w:rPr>
            </w:pPr>
            <w:r>
              <w:rPr>
                <w:rFonts w:asciiTheme="minorEastAsia" w:hAnsiTheme="minorEastAsia" w:eastAsiaTheme="minorEastAsia"/>
              </w:rPr>
              <w:t>分值构成</w:t>
            </w:r>
          </w:p>
          <w:p>
            <w:pPr>
              <w:adjustRightInd w:val="0"/>
              <w:snapToGrid w:val="0"/>
              <w:textAlignment w:val="baseline"/>
              <w:rPr>
                <w:rFonts w:asciiTheme="minorEastAsia" w:hAnsiTheme="minorEastAsia" w:eastAsiaTheme="minorEastAsia"/>
                <w:b/>
              </w:rPr>
            </w:pPr>
            <w:r>
              <w:rPr>
                <w:rFonts w:asciiTheme="minorEastAsia" w:hAnsiTheme="minorEastAsia" w:eastAsiaTheme="minorEastAsia"/>
              </w:rPr>
              <w:t>(总分100分)</w:t>
            </w:r>
          </w:p>
        </w:tc>
        <w:tc>
          <w:tcPr>
            <w:tcW w:w="7823" w:type="dxa"/>
            <w:vAlign w:val="center"/>
          </w:tcPr>
          <w:p>
            <w:pPr>
              <w:adjustRightInd w:val="0"/>
              <w:snapToGrid w:val="0"/>
              <w:textAlignment w:val="baseline"/>
              <w:rPr>
                <w:rFonts w:hint="default" w:asciiTheme="minorEastAsia" w:hAnsiTheme="minorEastAsia" w:eastAsiaTheme="minorEastAsia"/>
                <w:lang w:val="en-US" w:eastAsia="zh-CN"/>
              </w:rPr>
            </w:pPr>
            <w:r>
              <w:rPr>
                <w:rFonts w:hint="eastAsia" w:asciiTheme="minorEastAsia" w:hAnsiTheme="minorEastAsia" w:eastAsiaTheme="minorEastAsia"/>
                <w:lang w:eastAsia="zh-CN"/>
              </w:rPr>
              <w:t>总分100分，其中报价1</w:t>
            </w:r>
            <w:r>
              <w:rPr>
                <w:rFonts w:hint="eastAsia" w:asciiTheme="minorEastAsia" w:hAnsiTheme="minorEastAsia" w:eastAsiaTheme="minorEastAsia"/>
                <w:lang w:val="en-US" w:eastAsia="zh-CN"/>
              </w:rPr>
              <w:t>0</w:t>
            </w:r>
            <w:r>
              <w:rPr>
                <w:rFonts w:hint="eastAsia" w:asciiTheme="minorEastAsia" w:hAnsiTheme="minorEastAsia" w:eastAsiaTheme="minorEastAsia"/>
                <w:lang w:eastAsia="zh-CN"/>
              </w:rPr>
              <w:t>分；</w:t>
            </w:r>
            <w:r>
              <w:rPr>
                <w:rFonts w:hint="eastAsia" w:asciiTheme="minorEastAsia" w:hAnsiTheme="minorEastAsia" w:eastAsiaTheme="minorEastAsia"/>
                <w:lang w:val="en-US" w:eastAsia="zh-CN"/>
              </w:rPr>
              <w:t>技术部分55分；商务部分35分。</w:t>
            </w:r>
          </w:p>
        </w:tc>
      </w:tr>
    </w:tbl>
    <w:p>
      <w:pPr>
        <w:rPr>
          <w:rFonts w:cs="宋体" w:asciiTheme="minorEastAsia" w:hAnsiTheme="minorEastAsia" w:eastAsiaTheme="minorEastAsia"/>
          <w:lang w:eastAsia="zh-CN"/>
        </w:rPr>
      </w:pPr>
    </w:p>
    <w:p>
      <w:pPr>
        <w:rPr>
          <w:rFonts w:cs="宋体" w:asciiTheme="minorEastAsia" w:hAnsiTheme="minorEastAsia" w:eastAsiaTheme="minorEastAsia"/>
          <w:lang w:eastAsia="zh-CN"/>
        </w:rPr>
      </w:pPr>
      <w:r>
        <w:rPr>
          <w:rFonts w:hint="eastAsia" w:cs="宋体" w:asciiTheme="minorEastAsia" w:hAnsiTheme="minorEastAsia" w:eastAsiaTheme="minorEastAsia"/>
          <w:lang w:eastAsia="zh-CN"/>
        </w:rPr>
        <w:t>2、投标报价（</w:t>
      </w:r>
      <w:r>
        <w:rPr>
          <w:rFonts w:hint="eastAsia" w:cs="宋体" w:asciiTheme="minorEastAsia" w:hAnsiTheme="minorEastAsia" w:eastAsiaTheme="minorEastAsia"/>
          <w:b/>
          <w:bCs/>
          <w:lang w:val="en-US" w:eastAsia="zh-CN"/>
        </w:rPr>
        <w:t>满分</w:t>
      </w:r>
      <w:r>
        <w:rPr>
          <w:rFonts w:hint="eastAsia" w:cs="宋体" w:asciiTheme="minorEastAsia" w:hAnsiTheme="minorEastAsia" w:eastAsiaTheme="minorEastAsia"/>
          <w:b/>
          <w:bCs/>
          <w:lang w:eastAsia="zh-CN"/>
        </w:rPr>
        <w:t>1</w:t>
      </w:r>
      <w:r>
        <w:rPr>
          <w:rFonts w:hint="eastAsia" w:cs="宋体" w:asciiTheme="minorEastAsia" w:hAnsiTheme="minorEastAsia" w:eastAsiaTheme="minorEastAsia"/>
          <w:b/>
          <w:bCs/>
          <w:lang w:val="en-US" w:eastAsia="zh-CN"/>
        </w:rPr>
        <w:t>0</w:t>
      </w:r>
      <w:r>
        <w:rPr>
          <w:rFonts w:hint="eastAsia" w:cs="宋体" w:asciiTheme="minorEastAsia" w:hAnsiTheme="minorEastAsia" w:eastAsiaTheme="minorEastAsia"/>
          <w:b/>
          <w:bCs/>
          <w:lang w:eastAsia="zh-CN"/>
        </w:rPr>
        <w:t>分</w:t>
      </w:r>
      <w:r>
        <w:rPr>
          <w:rFonts w:hint="eastAsia" w:cs="宋体" w:asciiTheme="minorEastAsia" w:hAnsiTheme="minorEastAsia" w:eastAsiaTheme="minorEastAsia"/>
          <w:lang w:eastAsia="zh-CN"/>
        </w:rPr>
        <w:t>）</w:t>
      </w:r>
    </w:p>
    <w:tbl>
      <w:tblPr>
        <w:tblStyle w:val="37"/>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843"/>
        <w:gridCol w:w="992"/>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序号</w:t>
            </w:r>
          </w:p>
        </w:tc>
        <w:tc>
          <w:tcPr>
            <w:tcW w:w="1843" w:type="dxa"/>
            <w:vAlign w:val="center"/>
          </w:tcPr>
          <w:p>
            <w:pPr>
              <w:snapToGrid w:val="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评分项目</w:t>
            </w:r>
          </w:p>
        </w:tc>
        <w:tc>
          <w:tcPr>
            <w:tcW w:w="992" w:type="dxa"/>
            <w:vAlign w:val="center"/>
          </w:tcPr>
          <w:p>
            <w:pPr>
              <w:snapToGrid w:val="0"/>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标准分</w:t>
            </w:r>
          </w:p>
        </w:tc>
        <w:tc>
          <w:tcPr>
            <w:tcW w:w="6375" w:type="dxa"/>
            <w:vAlign w:val="center"/>
          </w:tcPr>
          <w:p>
            <w:pPr>
              <w:snapToGrid w:val="0"/>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070" w:type="dxa"/>
            <w:vAlign w:val="center"/>
          </w:tcPr>
          <w:p>
            <w:pPr>
              <w:spacing w:line="360" w:lineRule="auto"/>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宋体" w:cs="宋体"/>
                <w:szCs w:val="21"/>
              </w:rPr>
              <w:t>1</w:t>
            </w:r>
          </w:p>
        </w:tc>
        <w:tc>
          <w:tcPr>
            <w:tcW w:w="1843" w:type="dxa"/>
            <w:vAlign w:val="center"/>
          </w:tcPr>
          <w:p>
            <w:pPr>
              <w:spacing w:line="360" w:lineRule="auto"/>
              <w:jc w:val="center"/>
              <w:rPr>
                <w:rFonts w:hint="eastAsia" w:ascii="宋体" w:hAnsi="宋体" w:eastAsia="宋体" w:cs="宋体"/>
                <w:sz w:val="22"/>
                <w:szCs w:val="22"/>
                <w:lang w:val="en-US" w:eastAsia="zh-CN" w:bidi="en-US"/>
              </w:rPr>
            </w:pPr>
            <w:r>
              <w:rPr>
                <w:rFonts w:hint="eastAsia" w:ascii="宋体" w:hAnsi="宋体" w:cs="宋体"/>
                <w:b/>
                <w:szCs w:val="21"/>
              </w:rPr>
              <w:t>投标价格</w:t>
            </w:r>
          </w:p>
        </w:tc>
        <w:tc>
          <w:tcPr>
            <w:tcW w:w="992" w:type="dxa"/>
            <w:vAlign w:val="center"/>
          </w:tcPr>
          <w:p>
            <w:pPr>
              <w:spacing w:line="360" w:lineRule="auto"/>
              <w:jc w:val="center"/>
              <w:rPr>
                <w:rFonts w:hint="eastAsia" w:ascii="宋体" w:hAnsi="宋体" w:eastAsia="宋体" w:cs="宋体"/>
                <w:sz w:val="22"/>
                <w:szCs w:val="22"/>
                <w:lang w:val="en-US" w:eastAsia="en-US" w:bidi="en-US"/>
              </w:rPr>
            </w:pPr>
            <w:r>
              <w:rPr>
                <w:rFonts w:hint="eastAsia" w:ascii="宋体" w:hAnsi="宋体" w:cs="宋体"/>
                <w:szCs w:val="21"/>
              </w:rPr>
              <w:t>10</w:t>
            </w:r>
          </w:p>
        </w:tc>
        <w:tc>
          <w:tcPr>
            <w:tcW w:w="6375" w:type="dxa"/>
            <w:vAlign w:val="center"/>
          </w:tcPr>
          <w:p>
            <w:pPr>
              <w:spacing w:line="360" w:lineRule="auto"/>
              <w:ind w:firstLine="440" w:firstLineChars="200"/>
              <w:rPr>
                <w:rFonts w:hint="eastAsia" w:ascii="宋体" w:hAnsi="宋体" w:eastAsia="宋体" w:cs="宋体"/>
                <w:bCs/>
                <w:sz w:val="22"/>
                <w:szCs w:val="22"/>
                <w:lang w:val="en-US" w:eastAsia="zh-CN" w:bidi="en-US"/>
              </w:rPr>
            </w:pPr>
            <w:r>
              <w:rPr>
                <w:rFonts w:hint="eastAsia" w:ascii="宋体" w:hAnsi="宋体" w:cs="宋体"/>
                <w:szCs w:val="21"/>
              </w:rPr>
              <w:t>根据投标人的投报价，按照本公式进行计算得分：投标报价得分＝评标基准价÷有效投标报价×10，其中评标基准价为最低有效报价，价格分为满分10分，计算分数时四舍五入取小数点后两位。</w:t>
            </w:r>
          </w:p>
        </w:tc>
      </w:tr>
    </w:tbl>
    <w:p>
      <w:pPr>
        <w:adjustRightInd w:val="0"/>
        <w:snapToGrid w:val="0"/>
        <w:spacing w:before="120" w:after="120"/>
        <w:rPr>
          <w:rFonts w:asciiTheme="minorEastAsia" w:hAnsiTheme="minorEastAsia" w:eastAsiaTheme="minorEastAsia"/>
          <w:color w:val="000000" w:themeColor="text1"/>
          <w:lang w:eastAsia="zh-CN"/>
          <w14:textFill>
            <w14:solidFill>
              <w14:schemeClr w14:val="tx1"/>
            </w14:solidFill>
          </w14:textFill>
        </w:rPr>
      </w:pPr>
    </w:p>
    <w:p>
      <w:pPr>
        <w:adjustRightInd w:val="0"/>
        <w:snapToGrid w:val="0"/>
        <w:spacing w:before="120" w:after="120"/>
        <w:rPr>
          <w:rFonts w:asciiTheme="minorEastAsia" w:hAnsiTheme="minorEastAsia" w:eastAsiaTheme="minorEastAsia"/>
          <w:b/>
          <w:color w:val="000000" w:themeColor="text1"/>
          <w:lang w:eastAsia="zh-CN"/>
          <w14:textFill>
            <w14:solidFill>
              <w14:schemeClr w14:val="tx1"/>
            </w14:solidFill>
          </w14:textFill>
        </w:rPr>
      </w:pPr>
      <w:r>
        <w:rPr>
          <w:rFonts w:asciiTheme="minorEastAsia" w:hAnsiTheme="minorEastAsia" w:eastAsiaTheme="minorEastAsia"/>
          <w:color w:val="000000" w:themeColor="text1"/>
          <w:lang w:eastAsia="zh-CN"/>
          <w14:textFill>
            <w14:solidFill>
              <w14:schemeClr w14:val="tx1"/>
            </w14:solidFill>
          </w14:textFill>
        </w:rPr>
        <w:t>3</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技术部分</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b/>
          <w:color w:val="000000" w:themeColor="text1"/>
          <w:lang w:eastAsia="zh-CN"/>
          <w14:textFill>
            <w14:solidFill>
              <w14:schemeClr w14:val="tx1"/>
            </w14:solidFill>
          </w14:textFill>
        </w:rPr>
        <w:t>（满分</w:t>
      </w:r>
      <w:r>
        <w:rPr>
          <w:rFonts w:hint="eastAsia" w:asciiTheme="minorEastAsia" w:hAnsiTheme="minorEastAsia" w:eastAsiaTheme="minorEastAsia"/>
          <w:b/>
          <w:color w:val="000000" w:themeColor="text1"/>
          <w:lang w:val="en-US" w:eastAsia="zh-CN"/>
          <w14:textFill>
            <w14:solidFill>
              <w14:schemeClr w14:val="tx1"/>
            </w14:solidFill>
          </w14:textFill>
        </w:rPr>
        <w:t>5</w:t>
      </w:r>
      <w:r>
        <w:rPr>
          <w:rFonts w:hint="eastAsia" w:asciiTheme="minorEastAsia" w:hAnsiTheme="minorEastAsia" w:eastAsiaTheme="minorEastAsia"/>
          <w:b/>
          <w:color w:val="000000" w:themeColor="text1"/>
          <w:lang w:eastAsia="zh-CN"/>
          <w14:textFill>
            <w14:solidFill>
              <w14:schemeClr w14:val="tx1"/>
            </w14:solidFill>
          </w14:textFill>
        </w:rPr>
        <w:t>5分）</w:t>
      </w:r>
    </w:p>
    <w:tbl>
      <w:tblPr>
        <w:tblStyle w:val="37"/>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843"/>
        <w:gridCol w:w="992"/>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序号</w:t>
            </w:r>
          </w:p>
        </w:tc>
        <w:tc>
          <w:tcPr>
            <w:tcW w:w="1843" w:type="dxa"/>
            <w:vAlign w:val="center"/>
          </w:tcPr>
          <w:p>
            <w:pPr>
              <w:snapToGrid w:val="0"/>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评分项目</w:t>
            </w:r>
          </w:p>
        </w:tc>
        <w:tc>
          <w:tcPr>
            <w:tcW w:w="992"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标准分</w:t>
            </w:r>
          </w:p>
        </w:tc>
        <w:tc>
          <w:tcPr>
            <w:tcW w:w="637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1</w:t>
            </w:r>
          </w:p>
        </w:tc>
        <w:tc>
          <w:tcPr>
            <w:tcW w:w="1843" w:type="dxa"/>
            <w:vAlign w:val="center"/>
          </w:tcPr>
          <w:p>
            <w:pPr>
              <w:adjustRightInd w:val="0"/>
              <w:snapToGrid w:val="0"/>
              <w:spacing w:line="360" w:lineRule="exact"/>
              <w:jc w:val="center"/>
              <w:textAlignment w:val="baseline"/>
              <w:rPr>
                <w:rFonts w:hint="eastAsia" w:ascii="宋体" w:hAnsi="宋体" w:eastAsia="宋体" w:cs="宋体"/>
                <w:sz w:val="22"/>
                <w:szCs w:val="22"/>
                <w:lang w:val="en-US" w:eastAsia="zh-CN" w:bidi="en-US"/>
              </w:rPr>
            </w:pPr>
            <w:r>
              <w:rPr>
                <w:rFonts w:hint="eastAsia" w:ascii="宋体" w:hAnsi="宋体" w:cs="宋体"/>
                <w:sz w:val="22"/>
                <w:szCs w:val="22"/>
              </w:rPr>
              <w:t>对招标服务要求的响应情况</w:t>
            </w:r>
          </w:p>
        </w:tc>
        <w:tc>
          <w:tcPr>
            <w:tcW w:w="992" w:type="dxa"/>
            <w:vAlign w:val="center"/>
          </w:tcPr>
          <w:p>
            <w:pPr>
              <w:adjustRightInd w:val="0"/>
              <w:snapToGrid w:val="0"/>
              <w:spacing w:line="360" w:lineRule="exact"/>
              <w:jc w:val="center"/>
              <w:textAlignment w:val="baseline"/>
              <w:rPr>
                <w:rFonts w:hint="eastAsia" w:ascii="宋体" w:hAnsi="宋体" w:eastAsia="宋体" w:cs="宋体"/>
                <w:sz w:val="22"/>
                <w:szCs w:val="22"/>
                <w:lang w:val="en-US" w:eastAsia="zh-CN" w:bidi="en-US"/>
              </w:rPr>
            </w:pPr>
            <w:r>
              <w:rPr>
                <w:rFonts w:hint="eastAsia" w:ascii="宋体" w:hAnsi="宋体" w:cs="宋体"/>
                <w:sz w:val="22"/>
                <w:szCs w:val="22"/>
                <w:lang w:val="en-US" w:eastAsia="zh-CN"/>
              </w:rPr>
              <w:t>3</w:t>
            </w:r>
          </w:p>
        </w:tc>
        <w:tc>
          <w:tcPr>
            <w:tcW w:w="6375" w:type="dxa"/>
            <w:vAlign w:val="center"/>
          </w:tcPr>
          <w:p>
            <w:pPr>
              <w:adjustRightInd w:val="0"/>
              <w:snapToGrid w:val="0"/>
              <w:spacing w:line="360" w:lineRule="exact"/>
              <w:jc w:val="left"/>
              <w:textAlignment w:val="baseline"/>
              <w:rPr>
                <w:rFonts w:hint="eastAsia" w:ascii="宋体" w:hAnsi="宋体" w:eastAsia="宋体" w:cs="宋体"/>
                <w:bCs/>
                <w:sz w:val="22"/>
                <w:szCs w:val="22"/>
                <w:lang w:val="en-US" w:eastAsia="zh-CN" w:bidi="en-US"/>
              </w:rPr>
            </w:pPr>
            <w:r>
              <w:rPr>
                <w:rFonts w:hint="eastAsia" w:ascii="宋体" w:hAnsi="宋体" w:cs="宋体"/>
                <w:sz w:val="22"/>
                <w:szCs w:val="22"/>
              </w:rPr>
              <w:t>评委根据投标人对本合同包服务内容响应情况进行评价，全部满足“招标内容及要求” 的得</w:t>
            </w:r>
            <w:r>
              <w:rPr>
                <w:rFonts w:hint="eastAsia" w:ascii="宋体" w:hAnsi="宋体" w:cs="宋体"/>
                <w:sz w:val="22"/>
                <w:szCs w:val="22"/>
                <w:lang w:val="en-US" w:eastAsia="zh-CN"/>
              </w:rPr>
              <w:t>3</w:t>
            </w:r>
            <w:r>
              <w:rPr>
                <w:rFonts w:hint="eastAsia" w:ascii="宋体" w:hAnsi="宋体" w:cs="宋体"/>
                <w:sz w:val="22"/>
                <w:szCs w:val="22"/>
              </w:rPr>
              <w:t>分，每负偏离一项扣</w:t>
            </w:r>
            <w:r>
              <w:rPr>
                <w:rFonts w:hint="eastAsia" w:ascii="宋体" w:hAnsi="宋体" w:cs="宋体"/>
                <w:sz w:val="22"/>
                <w:szCs w:val="22"/>
                <w:lang w:val="en-US" w:eastAsia="zh-CN"/>
              </w:rPr>
              <w:t>0.5</w:t>
            </w:r>
            <w:r>
              <w:rPr>
                <w:rFonts w:hint="eastAsia" w:ascii="宋体" w:hAnsi="宋体" w:cs="宋体"/>
                <w:sz w:val="22"/>
                <w:szCs w:val="22"/>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7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w:t>
            </w:r>
          </w:p>
        </w:tc>
        <w:tc>
          <w:tcPr>
            <w:tcW w:w="1843" w:type="dxa"/>
            <w:vAlign w:val="center"/>
          </w:tcPr>
          <w:p>
            <w:pPr>
              <w:spacing w:line="360" w:lineRule="auto"/>
              <w:jc w:val="center"/>
              <w:rPr>
                <w:rFonts w:hint="eastAsia" w:ascii="宋体" w:hAnsi="宋体" w:eastAsia="宋体" w:cs="宋体"/>
                <w:sz w:val="22"/>
                <w:szCs w:val="22"/>
                <w:lang w:val="en-US" w:eastAsia="en-US" w:bidi="en-US"/>
              </w:rPr>
            </w:pPr>
            <w:r>
              <w:rPr>
                <w:rFonts w:hint="eastAsia" w:ascii="宋体" w:hAnsi="宋体" w:cs="宋体"/>
                <w:sz w:val="22"/>
                <w:szCs w:val="22"/>
                <w:lang w:val="en-US" w:eastAsia="zh-CN"/>
              </w:rPr>
              <w:t>主场服务</w:t>
            </w:r>
            <w:r>
              <w:rPr>
                <w:rFonts w:hint="eastAsia" w:ascii="宋体" w:hAnsi="宋体" w:cs="宋体"/>
                <w:sz w:val="22"/>
                <w:szCs w:val="22"/>
              </w:rPr>
              <w:t>方案</w:t>
            </w:r>
          </w:p>
        </w:tc>
        <w:tc>
          <w:tcPr>
            <w:tcW w:w="992" w:type="dxa"/>
            <w:vAlign w:val="center"/>
          </w:tcPr>
          <w:p>
            <w:pPr>
              <w:spacing w:line="360" w:lineRule="auto"/>
              <w:jc w:val="center"/>
              <w:rPr>
                <w:rFonts w:hint="eastAsia" w:ascii="宋体" w:hAnsi="宋体" w:eastAsia="宋体" w:cs="宋体"/>
                <w:spacing w:val="-20"/>
                <w:sz w:val="22"/>
                <w:szCs w:val="22"/>
                <w:lang w:val="en-US" w:eastAsia="en-US" w:bidi="en-US"/>
              </w:rPr>
            </w:pPr>
            <w:r>
              <w:rPr>
                <w:rFonts w:hint="eastAsia" w:ascii="宋体" w:hAnsi="宋体" w:cs="宋体"/>
                <w:sz w:val="22"/>
                <w:szCs w:val="22"/>
                <w:lang w:val="en-US" w:eastAsia="zh-CN"/>
              </w:rPr>
              <w:t>3</w:t>
            </w:r>
          </w:p>
        </w:tc>
        <w:tc>
          <w:tcPr>
            <w:tcW w:w="6375" w:type="dxa"/>
            <w:vAlign w:val="center"/>
          </w:tcPr>
          <w:p>
            <w:pPr>
              <w:spacing w:line="360" w:lineRule="auto"/>
              <w:jc w:val="left"/>
              <w:rPr>
                <w:rFonts w:hint="eastAsia" w:ascii="宋体" w:hAnsi="宋体" w:eastAsia="宋体" w:cs="宋体"/>
                <w:sz w:val="22"/>
                <w:szCs w:val="22"/>
                <w:lang w:val="en-US" w:eastAsia="zh-CN" w:bidi="en-US"/>
              </w:rPr>
            </w:pPr>
            <w:r>
              <w:rPr>
                <w:rFonts w:hint="eastAsia" w:ascii="宋体" w:hAnsi="宋体" w:cs="宋体"/>
                <w:sz w:val="22"/>
                <w:szCs w:val="22"/>
              </w:rPr>
              <w:t>根据各投标人</w:t>
            </w:r>
            <w:r>
              <w:rPr>
                <w:rFonts w:hint="eastAsia" w:ascii="宋体" w:hAnsi="宋体" w:cs="宋体"/>
                <w:sz w:val="22"/>
                <w:szCs w:val="22"/>
                <w:lang w:val="en-US" w:eastAsia="zh-CN"/>
              </w:rPr>
              <w:t>的</w:t>
            </w:r>
            <w:r>
              <w:rPr>
                <w:rFonts w:hint="eastAsia" w:ascii="宋体" w:hAnsi="宋体" w:cs="宋体"/>
                <w:sz w:val="22"/>
                <w:szCs w:val="22"/>
              </w:rPr>
              <w:t>展会</w:t>
            </w:r>
            <w:r>
              <w:rPr>
                <w:rFonts w:hint="eastAsia" w:ascii="宋体" w:hAnsi="宋体" w:cs="宋体"/>
                <w:sz w:val="22"/>
                <w:szCs w:val="22"/>
                <w:lang w:val="en-US" w:eastAsia="zh-CN"/>
              </w:rPr>
              <w:t>主场</w:t>
            </w:r>
            <w:r>
              <w:rPr>
                <w:rFonts w:hint="eastAsia" w:ascii="宋体" w:hAnsi="宋体" w:cs="宋体"/>
                <w:sz w:val="22"/>
                <w:szCs w:val="22"/>
              </w:rPr>
              <w:t>服务</w:t>
            </w:r>
            <w:r>
              <w:rPr>
                <w:rFonts w:hint="eastAsia" w:ascii="宋体" w:hAnsi="宋体" w:cs="宋体"/>
                <w:sz w:val="22"/>
                <w:szCs w:val="22"/>
                <w:lang w:val="en-US" w:eastAsia="zh-CN"/>
              </w:rPr>
              <w:t>方案</w:t>
            </w:r>
            <w:r>
              <w:rPr>
                <w:rFonts w:hint="eastAsia" w:ascii="宋体" w:hAnsi="宋体" w:cs="宋体"/>
                <w:sz w:val="22"/>
                <w:szCs w:val="22"/>
              </w:rPr>
              <w:t>，从内容的完整性、可行性等方面，由评委进行评分，优的得</w:t>
            </w:r>
            <w:r>
              <w:rPr>
                <w:rFonts w:hint="eastAsia" w:ascii="宋体" w:hAnsi="宋体" w:cs="宋体"/>
                <w:sz w:val="22"/>
                <w:szCs w:val="22"/>
                <w:lang w:val="en-US" w:eastAsia="zh-CN"/>
              </w:rPr>
              <w:t>3</w:t>
            </w:r>
            <w:r>
              <w:rPr>
                <w:rFonts w:hint="eastAsia" w:ascii="宋体" w:hAnsi="宋体" w:cs="宋体"/>
                <w:sz w:val="22"/>
                <w:szCs w:val="22"/>
              </w:rPr>
              <w:t>分，良的得</w:t>
            </w:r>
            <w:r>
              <w:rPr>
                <w:rFonts w:hint="eastAsia" w:ascii="宋体" w:hAnsi="宋体" w:cs="宋体"/>
                <w:sz w:val="22"/>
                <w:szCs w:val="22"/>
                <w:lang w:val="en-US" w:eastAsia="zh-CN"/>
              </w:rPr>
              <w:t>2</w:t>
            </w:r>
            <w:r>
              <w:rPr>
                <w:rFonts w:hint="eastAsia" w:ascii="宋体" w:hAnsi="宋体" w:cs="宋体"/>
                <w:sz w:val="22"/>
                <w:szCs w:val="22"/>
              </w:rPr>
              <w:t>分，一般的得</w:t>
            </w:r>
            <w:r>
              <w:rPr>
                <w:rFonts w:hint="eastAsia" w:ascii="宋体" w:hAnsi="宋体" w:cs="宋体"/>
                <w:sz w:val="22"/>
                <w:szCs w:val="22"/>
                <w:lang w:val="en-US" w:eastAsia="zh-CN"/>
              </w:rPr>
              <w:t>1</w:t>
            </w:r>
            <w:r>
              <w:rPr>
                <w:rFonts w:hint="eastAsia" w:ascii="宋体" w:hAnsi="宋体" w:cs="宋体"/>
                <w:sz w:val="22"/>
                <w:szCs w:val="22"/>
              </w:rPr>
              <w:t>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3</w:t>
            </w:r>
          </w:p>
        </w:tc>
        <w:tc>
          <w:tcPr>
            <w:tcW w:w="1843" w:type="dxa"/>
            <w:vAlign w:val="center"/>
          </w:tcPr>
          <w:p>
            <w:pPr>
              <w:spacing w:line="360" w:lineRule="auto"/>
              <w:jc w:val="center"/>
              <w:rPr>
                <w:rFonts w:hint="default" w:ascii="宋体" w:hAnsi="宋体" w:eastAsia="宋体" w:cs="宋体"/>
                <w:sz w:val="22"/>
                <w:szCs w:val="22"/>
                <w:lang w:val="en-US" w:eastAsia="zh-CN" w:bidi="en-US"/>
              </w:rPr>
            </w:pPr>
            <w:r>
              <w:rPr>
                <w:rFonts w:hint="eastAsia" w:ascii="宋体" w:hAnsi="宋体" w:cs="宋体"/>
                <w:sz w:val="22"/>
                <w:szCs w:val="22"/>
                <w:lang w:val="en-US" w:eastAsia="zh-CN" w:bidi="en-US"/>
              </w:rPr>
              <w:t>安全管理方案</w:t>
            </w:r>
          </w:p>
        </w:tc>
        <w:tc>
          <w:tcPr>
            <w:tcW w:w="992" w:type="dxa"/>
            <w:vAlign w:val="center"/>
          </w:tcPr>
          <w:p>
            <w:pPr>
              <w:spacing w:line="360" w:lineRule="auto"/>
              <w:jc w:val="center"/>
              <w:rPr>
                <w:rFonts w:hint="default" w:ascii="宋体" w:hAnsi="宋体" w:eastAsia="宋体" w:cs="宋体"/>
                <w:spacing w:val="-20"/>
                <w:sz w:val="22"/>
                <w:szCs w:val="22"/>
                <w:lang w:val="en-US" w:eastAsia="zh-CN" w:bidi="en-US"/>
              </w:rPr>
            </w:pPr>
            <w:r>
              <w:rPr>
                <w:rFonts w:hint="eastAsia" w:ascii="宋体" w:hAnsi="宋体" w:cs="宋体"/>
                <w:spacing w:val="-20"/>
                <w:sz w:val="22"/>
                <w:szCs w:val="22"/>
                <w:lang w:val="en-US" w:eastAsia="zh-CN" w:bidi="en-US"/>
              </w:rPr>
              <w:t>3</w:t>
            </w:r>
          </w:p>
        </w:tc>
        <w:tc>
          <w:tcPr>
            <w:tcW w:w="6375" w:type="dxa"/>
            <w:vAlign w:val="center"/>
          </w:tcPr>
          <w:p>
            <w:pPr>
              <w:spacing w:line="360" w:lineRule="auto"/>
              <w:jc w:val="left"/>
              <w:rPr>
                <w:rFonts w:hint="eastAsia" w:ascii="宋体" w:hAnsi="宋体" w:eastAsia="宋体" w:cs="宋体"/>
                <w:sz w:val="22"/>
                <w:szCs w:val="22"/>
                <w:lang w:val="en-US" w:eastAsia="zh-CN" w:bidi="en-US"/>
              </w:rPr>
            </w:pPr>
            <w:r>
              <w:rPr>
                <w:rFonts w:hint="eastAsia" w:ascii="宋体" w:hAnsi="宋体" w:cs="宋体"/>
                <w:sz w:val="22"/>
                <w:szCs w:val="22"/>
              </w:rPr>
              <w:t>根据各投标人</w:t>
            </w:r>
            <w:r>
              <w:rPr>
                <w:rFonts w:hint="eastAsia" w:ascii="宋体" w:hAnsi="宋体" w:cs="宋体"/>
                <w:sz w:val="22"/>
                <w:szCs w:val="22"/>
                <w:lang w:val="en-US" w:eastAsia="zh-CN"/>
              </w:rPr>
              <w:t>提交的展会现场安全管理方案</w:t>
            </w:r>
            <w:r>
              <w:rPr>
                <w:rFonts w:hint="eastAsia" w:ascii="宋体" w:hAnsi="宋体" w:cs="宋体"/>
                <w:sz w:val="22"/>
                <w:szCs w:val="22"/>
              </w:rPr>
              <w:t>，从内容的完整性、可行性等方面，由评委进行评分，优的得</w:t>
            </w:r>
            <w:r>
              <w:rPr>
                <w:rFonts w:hint="eastAsia" w:ascii="宋体" w:hAnsi="宋体" w:cs="宋体"/>
                <w:sz w:val="22"/>
                <w:szCs w:val="22"/>
                <w:lang w:val="en-US" w:eastAsia="zh-CN"/>
              </w:rPr>
              <w:t>3</w:t>
            </w:r>
            <w:r>
              <w:rPr>
                <w:rFonts w:hint="eastAsia" w:ascii="宋体" w:hAnsi="宋体" w:cs="宋体"/>
                <w:sz w:val="22"/>
                <w:szCs w:val="22"/>
              </w:rPr>
              <w:t>分，良的得</w:t>
            </w:r>
            <w:r>
              <w:rPr>
                <w:rFonts w:hint="eastAsia" w:ascii="宋体" w:hAnsi="宋体" w:cs="宋体"/>
                <w:sz w:val="22"/>
                <w:szCs w:val="22"/>
                <w:lang w:val="en-US" w:eastAsia="zh-CN"/>
              </w:rPr>
              <w:t>2</w:t>
            </w:r>
            <w:r>
              <w:rPr>
                <w:rFonts w:hint="eastAsia" w:ascii="宋体" w:hAnsi="宋体" w:cs="宋体"/>
                <w:sz w:val="22"/>
                <w:szCs w:val="22"/>
              </w:rPr>
              <w:t>分，一般的得</w:t>
            </w:r>
            <w:r>
              <w:rPr>
                <w:rFonts w:hint="eastAsia" w:ascii="宋体" w:hAnsi="宋体" w:cs="宋体"/>
                <w:sz w:val="22"/>
                <w:szCs w:val="22"/>
                <w:lang w:val="en-US" w:eastAsia="zh-CN"/>
              </w:rPr>
              <w:t>1</w:t>
            </w:r>
            <w:r>
              <w:rPr>
                <w:rFonts w:hint="eastAsia" w:ascii="宋体" w:hAnsi="宋体" w:cs="宋体"/>
                <w:sz w:val="22"/>
                <w:szCs w:val="22"/>
              </w:rPr>
              <w:t>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0" w:type="dxa"/>
            <w:vAlign w:val="center"/>
          </w:tcPr>
          <w:p>
            <w:pPr>
              <w:snapToGrid w:val="0"/>
              <w:jc w:val="cente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4</w:t>
            </w:r>
          </w:p>
        </w:tc>
        <w:tc>
          <w:tcPr>
            <w:tcW w:w="1843" w:type="dxa"/>
            <w:vAlign w:val="center"/>
          </w:tcPr>
          <w:p>
            <w:pPr>
              <w:spacing w:line="360" w:lineRule="auto"/>
              <w:jc w:val="center"/>
              <w:rPr>
                <w:rFonts w:hint="default" w:ascii="宋体" w:hAnsi="宋体" w:cs="宋体"/>
                <w:sz w:val="22"/>
                <w:szCs w:val="22"/>
                <w:lang w:val="en-US" w:eastAsia="zh-CN" w:bidi="en-US"/>
              </w:rPr>
            </w:pPr>
            <w:r>
              <w:rPr>
                <w:rFonts w:hint="eastAsia" w:ascii="宋体" w:hAnsi="宋体" w:cs="宋体"/>
                <w:sz w:val="22"/>
                <w:szCs w:val="22"/>
                <w:lang w:val="en-US" w:eastAsia="zh-CN" w:bidi="en-US"/>
              </w:rPr>
              <w:t>展会流程管理</w:t>
            </w:r>
          </w:p>
        </w:tc>
        <w:tc>
          <w:tcPr>
            <w:tcW w:w="992" w:type="dxa"/>
            <w:vAlign w:val="center"/>
          </w:tcPr>
          <w:p>
            <w:pPr>
              <w:spacing w:line="360" w:lineRule="auto"/>
              <w:jc w:val="center"/>
              <w:rPr>
                <w:rFonts w:hint="default" w:ascii="宋体" w:hAnsi="宋体" w:cs="宋体"/>
                <w:spacing w:val="-20"/>
                <w:sz w:val="22"/>
                <w:szCs w:val="22"/>
                <w:lang w:val="en-US" w:eastAsia="zh-CN" w:bidi="en-US"/>
              </w:rPr>
            </w:pPr>
            <w:r>
              <w:rPr>
                <w:rFonts w:hint="eastAsia" w:ascii="宋体" w:hAnsi="宋体" w:cs="宋体"/>
                <w:spacing w:val="-20"/>
                <w:sz w:val="22"/>
                <w:szCs w:val="22"/>
                <w:lang w:val="en-US" w:eastAsia="zh-CN" w:bidi="en-US"/>
              </w:rPr>
              <w:t>3</w:t>
            </w:r>
          </w:p>
        </w:tc>
        <w:tc>
          <w:tcPr>
            <w:tcW w:w="6375" w:type="dxa"/>
            <w:vAlign w:val="center"/>
          </w:tcPr>
          <w:tbl>
            <w:tblPr>
              <w:tblStyle w:val="37"/>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5" w:type="dxa"/>
                  <w:vAlign w:val="center"/>
                </w:tcPr>
                <w:p>
                  <w:pPr>
                    <w:spacing w:line="360" w:lineRule="auto"/>
                    <w:jc w:val="left"/>
                    <w:rPr>
                      <w:rFonts w:hint="eastAsia" w:ascii="宋体" w:hAnsi="宋体" w:eastAsia="宋体" w:cs="宋体"/>
                      <w:sz w:val="22"/>
                      <w:szCs w:val="22"/>
                      <w:lang w:val="en-US" w:eastAsia="zh-CN" w:bidi="en-US"/>
                    </w:rPr>
                  </w:pPr>
                  <w:r>
                    <w:rPr>
                      <w:rFonts w:hint="eastAsia" w:ascii="宋体" w:hAnsi="宋体" w:cs="宋体"/>
                      <w:sz w:val="22"/>
                      <w:szCs w:val="22"/>
                      <w:lang w:val="en-US" w:eastAsia="zh-CN"/>
                    </w:rPr>
                    <w:t>根据各</w:t>
                  </w:r>
                  <w:r>
                    <w:rPr>
                      <w:rFonts w:hint="eastAsia" w:ascii="宋体" w:hAnsi="宋体" w:cs="宋体"/>
                      <w:sz w:val="22"/>
                      <w:szCs w:val="22"/>
                    </w:rPr>
                    <w:t>投标人</w:t>
                  </w:r>
                  <w:r>
                    <w:rPr>
                      <w:rFonts w:hint="eastAsia" w:ascii="宋体" w:hAnsi="宋体" w:cs="宋体"/>
                      <w:sz w:val="22"/>
                      <w:szCs w:val="22"/>
                      <w:lang w:val="en-US" w:eastAsia="zh-CN"/>
                    </w:rPr>
                    <w:t>提交的展会各类流程管理办法</w:t>
                  </w:r>
                  <w:r>
                    <w:rPr>
                      <w:rFonts w:hint="eastAsia" w:ascii="宋体" w:hAnsi="宋体" w:cs="宋体"/>
                      <w:sz w:val="22"/>
                      <w:szCs w:val="22"/>
                    </w:rPr>
                    <w:t>，从</w:t>
                  </w:r>
                  <w:r>
                    <w:rPr>
                      <w:rFonts w:hint="eastAsia" w:ascii="宋体" w:hAnsi="宋体" w:cs="宋体"/>
                      <w:sz w:val="22"/>
                      <w:szCs w:val="22"/>
                      <w:lang w:val="en-US" w:eastAsia="zh-CN"/>
                    </w:rPr>
                    <w:t>流程</w:t>
                  </w:r>
                  <w:r>
                    <w:rPr>
                      <w:rFonts w:hint="eastAsia" w:ascii="宋体" w:hAnsi="宋体" w:cs="宋体"/>
                      <w:sz w:val="22"/>
                      <w:szCs w:val="22"/>
                    </w:rPr>
                    <w:t>的</w:t>
                  </w:r>
                  <w:r>
                    <w:rPr>
                      <w:rFonts w:hint="eastAsia" w:ascii="宋体" w:hAnsi="宋体" w:cs="宋体"/>
                      <w:sz w:val="22"/>
                      <w:szCs w:val="22"/>
                      <w:lang w:val="en-US" w:eastAsia="zh-CN"/>
                    </w:rPr>
                    <w:t>合理</w:t>
                  </w:r>
                  <w:r>
                    <w:rPr>
                      <w:rFonts w:hint="eastAsia" w:ascii="宋体" w:hAnsi="宋体" w:cs="宋体"/>
                      <w:sz w:val="22"/>
                      <w:szCs w:val="22"/>
                    </w:rPr>
                    <w:t>性、可行性等方面，由评委进行评分，优的得</w:t>
                  </w:r>
                  <w:r>
                    <w:rPr>
                      <w:rFonts w:hint="eastAsia" w:ascii="宋体" w:hAnsi="宋体" w:cs="宋体"/>
                      <w:sz w:val="22"/>
                      <w:szCs w:val="22"/>
                      <w:lang w:val="en-US" w:eastAsia="zh-CN"/>
                    </w:rPr>
                    <w:t>3</w:t>
                  </w:r>
                  <w:r>
                    <w:rPr>
                      <w:rFonts w:hint="eastAsia" w:ascii="宋体" w:hAnsi="宋体" w:cs="宋体"/>
                      <w:sz w:val="22"/>
                      <w:szCs w:val="22"/>
                    </w:rPr>
                    <w:t>分，良的得</w:t>
                  </w:r>
                  <w:r>
                    <w:rPr>
                      <w:rFonts w:hint="eastAsia" w:ascii="宋体" w:hAnsi="宋体" w:cs="宋体"/>
                      <w:sz w:val="22"/>
                      <w:szCs w:val="22"/>
                      <w:lang w:val="en-US" w:eastAsia="zh-CN"/>
                    </w:rPr>
                    <w:t>2</w:t>
                  </w:r>
                  <w:r>
                    <w:rPr>
                      <w:rFonts w:hint="eastAsia" w:ascii="宋体" w:hAnsi="宋体" w:cs="宋体"/>
                      <w:sz w:val="22"/>
                      <w:szCs w:val="22"/>
                    </w:rPr>
                    <w:t>分，一般的得</w:t>
                  </w:r>
                  <w:r>
                    <w:rPr>
                      <w:rFonts w:hint="eastAsia" w:ascii="宋体" w:hAnsi="宋体" w:cs="宋体"/>
                      <w:sz w:val="22"/>
                      <w:szCs w:val="22"/>
                      <w:lang w:val="en-US" w:eastAsia="zh-CN"/>
                    </w:rPr>
                    <w:t>1</w:t>
                  </w:r>
                  <w:r>
                    <w:rPr>
                      <w:rFonts w:hint="eastAsia" w:ascii="宋体" w:hAnsi="宋体" w:cs="宋体"/>
                      <w:sz w:val="22"/>
                      <w:szCs w:val="22"/>
                    </w:rPr>
                    <w:t>分，未提供的则不得分。</w:t>
                  </w:r>
                </w:p>
              </w:tc>
            </w:tr>
          </w:tbl>
          <w:p>
            <w:pPr>
              <w:spacing w:line="360" w:lineRule="auto"/>
              <w:jc w:val="left"/>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1070" w:type="dxa"/>
            <w:vAlign w:val="center"/>
          </w:tcPr>
          <w:p>
            <w:pPr>
              <w:snapToGrid w:val="0"/>
              <w:jc w:val="center"/>
              <w:rPr>
                <w:rFonts w:hint="eastAsia" w:cs="宋体" w:asciiTheme="minorEastAsia" w:hAnsiTheme="minorEastAsia" w:eastAsiaTheme="minorEastAsia"/>
                <w:color w:val="000000" w:themeColor="text1"/>
                <w:sz w:val="22"/>
                <w:szCs w:val="22"/>
                <w:lang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5</w:t>
            </w:r>
          </w:p>
        </w:tc>
        <w:tc>
          <w:tcPr>
            <w:tcW w:w="1843" w:type="dxa"/>
            <w:vAlign w:val="center"/>
          </w:tcPr>
          <w:p>
            <w:pPr>
              <w:spacing w:line="360" w:lineRule="auto"/>
              <w:jc w:val="center"/>
              <w:rPr>
                <w:rFonts w:hint="default" w:ascii="宋体" w:hAnsi="宋体" w:eastAsia="宋体" w:cs="宋体"/>
                <w:sz w:val="22"/>
                <w:szCs w:val="22"/>
                <w:lang w:val="en-US" w:eastAsia="zh-CN" w:bidi="en-US"/>
              </w:rPr>
            </w:pPr>
            <w:r>
              <w:rPr>
                <w:rFonts w:hint="eastAsia" w:ascii="宋体" w:hAnsi="宋体" w:cs="宋体"/>
                <w:sz w:val="22"/>
                <w:szCs w:val="22"/>
                <w:lang w:val="en-US" w:eastAsia="zh-CN"/>
              </w:rPr>
              <w:t>主形象设计</w:t>
            </w:r>
          </w:p>
        </w:tc>
        <w:tc>
          <w:tcPr>
            <w:tcW w:w="992" w:type="dxa"/>
            <w:vAlign w:val="center"/>
          </w:tcPr>
          <w:p>
            <w:pPr>
              <w:spacing w:line="360" w:lineRule="auto"/>
              <w:jc w:val="center"/>
              <w:rPr>
                <w:rFonts w:hint="eastAsia" w:ascii="宋体" w:hAnsi="宋体" w:eastAsia="宋体" w:cs="宋体"/>
                <w:spacing w:val="-20"/>
                <w:sz w:val="22"/>
                <w:szCs w:val="22"/>
                <w:lang w:val="en-US" w:eastAsia="zh-CN" w:bidi="en-US"/>
              </w:rPr>
            </w:pPr>
            <w:r>
              <w:rPr>
                <w:rFonts w:hint="eastAsia" w:ascii="宋体" w:hAnsi="宋体" w:cs="宋体"/>
                <w:sz w:val="22"/>
                <w:szCs w:val="22"/>
              </w:rPr>
              <w:t>3</w:t>
            </w:r>
          </w:p>
        </w:tc>
        <w:tc>
          <w:tcPr>
            <w:tcW w:w="6375" w:type="dxa"/>
            <w:vAlign w:val="center"/>
          </w:tcPr>
          <w:p>
            <w:pPr>
              <w:spacing w:line="360" w:lineRule="auto"/>
              <w:jc w:val="left"/>
              <w:rPr>
                <w:rFonts w:hint="eastAsia" w:ascii="宋体" w:hAnsi="宋体" w:eastAsia="宋体" w:cs="宋体"/>
                <w:sz w:val="22"/>
                <w:szCs w:val="22"/>
                <w:lang w:val="en-US" w:eastAsia="zh-CN" w:bidi="en-US"/>
              </w:rPr>
            </w:pPr>
            <w:r>
              <w:rPr>
                <w:rFonts w:hint="eastAsia" w:ascii="宋体" w:hAnsi="宋体" w:cs="宋体"/>
                <w:sz w:val="22"/>
                <w:szCs w:val="22"/>
              </w:rPr>
              <w:t>根据投标人提供的</w:t>
            </w:r>
            <w:r>
              <w:rPr>
                <w:rFonts w:hint="eastAsia" w:ascii="宋体" w:hAnsi="宋体" w:cs="宋体"/>
                <w:sz w:val="22"/>
                <w:szCs w:val="22"/>
                <w:lang w:val="en-US" w:eastAsia="zh-CN"/>
              </w:rPr>
              <w:t>主</w:t>
            </w:r>
            <w:r>
              <w:rPr>
                <w:rFonts w:hint="eastAsia" w:ascii="宋体" w:hAnsi="宋体" w:cs="宋体"/>
                <w:sz w:val="22"/>
                <w:szCs w:val="22"/>
              </w:rPr>
              <w:t>形象</w:t>
            </w:r>
            <w:r>
              <w:rPr>
                <w:rFonts w:hint="eastAsia" w:ascii="宋体" w:hAnsi="宋体" w:cs="宋体"/>
                <w:sz w:val="22"/>
                <w:szCs w:val="22"/>
                <w:lang w:val="en-US" w:eastAsia="zh-CN"/>
              </w:rPr>
              <w:t>设计</w:t>
            </w:r>
            <w:r>
              <w:rPr>
                <w:rFonts w:hint="eastAsia" w:ascii="宋体" w:hAnsi="宋体" w:cs="宋体"/>
                <w:sz w:val="22"/>
                <w:szCs w:val="22"/>
              </w:rPr>
              <w:t>是否围绕本次</w:t>
            </w:r>
            <w:r>
              <w:rPr>
                <w:rFonts w:hint="eastAsia" w:ascii="宋体" w:hAnsi="宋体" w:cs="宋体"/>
                <w:sz w:val="22"/>
                <w:szCs w:val="22"/>
                <w:lang w:val="en-US" w:eastAsia="zh-CN"/>
              </w:rPr>
              <w:t>跨境电商展</w:t>
            </w:r>
            <w:r>
              <w:rPr>
                <w:rFonts w:hint="eastAsia" w:ascii="宋体" w:hAnsi="宋体" w:cs="宋体"/>
                <w:sz w:val="22"/>
                <w:szCs w:val="22"/>
              </w:rPr>
              <w:t>的主题，设计形象是否力求美观、时尚、简洁、大气，具备艺术性设计风格，传统与现代充分融合，由评委进行评分，优的得3分，良的得2分，一般的得1分，未提供的则不得分。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hint="default"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6</w:t>
            </w:r>
          </w:p>
        </w:tc>
        <w:tc>
          <w:tcPr>
            <w:tcW w:w="1843" w:type="dxa"/>
            <w:vAlign w:val="center"/>
          </w:tcPr>
          <w:p>
            <w:pPr>
              <w:spacing w:line="360" w:lineRule="auto"/>
              <w:jc w:val="center"/>
              <w:rPr>
                <w:rFonts w:hint="eastAsia" w:ascii="宋体" w:hAnsi="宋体" w:eastAsia="宋体" w:cs="宋体"/>
                <w:sz w:val="22"/>
                <w:szCs w:val="22"/>
                <w:lang w:val="en-US" w:eastAsia="zh-CN" w:bidi="en-US"/>
              </w:rPr>
            </w:pPr>
            <w:r>
              <w:rPr>
                <w:rFonts w:hint="eastAsia" w:ascii="宋体" w:hAnsi="宋体" w:cs="宋体"/>
                <w:sz w:val="22"/>
                <w:szCs w:val="22"/>
              </w:rPr>
              <w:t>展区布局方案</w:t>
            </w:r>
          </w:p>
        </w:tc>
        <w:tc>
          <w:tcPr>
            <w:tcW w:w="992" w:type="dxa"/>
            <w:vAlign w:val="center"/>
          </w:tcPr>
          <w:p>
            <w:pPr>
              <w:spacing w:line="360" w:lineRule="auto"/>
              <w:jc w:val="center"/>
              <w:rPr>
                <w:rFonts w:hint="eastAsia" w:ascii="宋体" w:hAnsi="宋体" w:eastAsia="宋体" w:cs="宋体"/>
                <w:spacing w:val="-20"/>
                <w:sz w:val="22"/>
                <w:szCs w:val="22"/>
                <w:lang w:val="en-US" w:eastAsia="zh-CN" w:bidi="en-US"/>
              </w:rPr>
            </w:pPr>
            <w:r>
              <w:rPr>
                <w:rFonts w:hint="eastAsia" w:ascii="宋体" w:hAnsi="宋体" w:cs="宋体"/>
                <w:sz w:val="22"/>
                <w:szCs w:val="22"/>
                <w:lang w:val="en-US" w:eastAsia="zh-CN"/>
              </w:rPr>
              <w:t>3</w:t>
            </w:r>
          </w:p>
        </w:tc>
        <w:tc>
          <w:tcPr>
            <w:tcW w:w="6375" w:type="dxa"/>
            <w:vAlign w:val="center"/>
          </w:tcPr>
          <w:p>
            <w:pPr>
              <w:spacing w:line="360" w:lineRule="auto"/>
              <w:jc w:val="left"/>
              <w:rPr>
                <w:rFonts w:hint="eastAsia" w:ascii="宋体" w:hAnsi="宋体" w:eastAsia="宋体" w:cs="宋体"/>
                <w:sz w:val="22"/>
                <w:szCs w:val="22"/>
                <w:lang w:val="en-US" w:eastAsia="zh-CN" w:bidi="en-US"/>
              </w:rPr>
            </w:pPr>
            <w:r>
              <w:rPr>
                <w:rFonts w:hint="eastAsia" w:ascii="宋体" w:hAnsi="宋体" w:cs="宋体"/>
                <w:sz w:val="22"/>
                <w:szCs w:val="22"/>
              </w:rPr>
              <w:t>根据投标人提供的平面图，是否对</w:t>
            </w:r>
            <w:r>
              <w:rPr>
                <w:rFonts w:hint="eastAsia" w:ascii="宋体" w:hAnsi="宋体" w:cs="宋体"/>
                <w:sz w:val="22"/>
                <w:szCs w:val="22"/>
                <w:lang w:val="en-US" w:eastAsia="zh-CN"/>
              </w:rPr>
              <w:t>展</w:t>
            </w:r>
            <w:r>
              <w:rPr>
                <w:rFonts w:hint="eastAsia" w:ascii="宋体" w:hAnsi="宋体" w:cs="宋体"/>
                <w:sz w:val="22"/>
                <w:szCs w:val="22"/>
              </w:rPr>
              <w:t>会现场</w:t>
            </w:r>
            <w:r>
              <w:rPr>
                <w:rFonts w:hint="eastAsia" w:ascii="宋体" w:hAnsi="宋体" w:cs="宋体"/>
                <w:sz w:val="22"/>
                <w:szCs w:val="22"/>
                <w:lang w:val="en-US" w:eastAsia="zh-CN"/>
              </w:rPr>
              <w:t>展位、会场、功能区、通道等进行合理规划</w:t>
            </w:r>
            <w:r>
              <w:rPr>
                <w:rFonts w:hint="eastAsia" w:ascii="宋体" w:hAnsi="宋体" w:cs="宋体"/>
                <w:sz w:val="22"/>
                <w:szCs w:val="22"/>
              </w:rPr>
              <w:t>，由评委进行评分，优的得3分，良的得2分，一般的得1分，未提供的则不得分。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hint="default"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7</w:t>
            </w:r>
          </w:p>
        </w:tc>
        <w:tc>
          <w:tcPr>
            <w:tcW w:w="1843" w:type="dxa"/>
            <w:vAlign w:val="center"/>
          </w:tcPr>
          <w:p>
            <w:pPr>
              <w:spacing w:line="360" w:lineRule="exact"/>
              <w:jc w:val="center"/>
              <w:rPr>
                <w:rFonts w:hint="eastAsia" w:ascii="宋体" w:hAnsi="宋体" w:eastAsia="宋体" w:cs="宋体"/>
                <w:sz w:val="22"/>
                <w:szCs w:val="22"/>
                <w:lang w:val="en-US" w:eastAsia="zh-CN" w:bidi="en-US"/>
              </w:rPr>
            </w:pPr>
            <w:r>
              <w:rPr>
                <w:rFonts w:hint="eastAsia" w:ascii="宋体" w:hAnsi="宋体" w:cs="宋体"/>
                <w:sz w:val="22"/>
                <w:szCs w:val="22"/>
                <w:lang w:val="en-US" w:eastAsia="zh-CN"/>
              </w:rPr>
              <w:t>功能点位</w:t>
            </w:r>
            <w:r>
              <w:rPr>
                <w:rFonts w:hint="eastAsia" w:ascii="宋体" w:hAnsi="宋体" w:cs="宋体"/>
                <w:sz w:val="22"/>
                <w:szCs w:val="22"/>
              </w:rPr>
              <w:t>规划方案</w:t>
            </w:r>
          </w:p>
        </w:tc>
        <w:tc>
          <w:tcPr>
            <w:tcW w:w="992" w:type="dxa"/>
            <w:vAlign w:val="center"/>
          </w:tcPr>
          <w:p>
            <w:pPr>
              <w:spacing w:line="360" w:lineRule="auto"/>
              <w:jc w:val="center"/>
              <w:rPr>
                <w:rFonts w:hint="eastAsia" w:ascii="宋体" w:hAnsi="宋体" w:eastAsia="宋体" w:cs="宋体"/>
                <w:sz w:val="22"/>
                <w:szCs w:val="22"/>
                <w:lang w:val="en-US" w:eastAsia="zh-CN" w:bidi="en-US"/>
              </w:rPr>
            </w:pPr>
            <w:r>
              <w:rPr>
                <w:rFonts w:hint="eastAsia" w:ascii="宋体" w:hAnsi="宋体" w:cs="宋体"/>
                <w:sz w:val="22"/>
                <w:szCs w:val="22"/>
                <w:lang w:val="en-US" w:eastAsia="zh-CN"/>
              </w:rPr>
              <w:t>2</w:t>
            </w:r>
          </w:p>
        </w:tc>
        <w:tc>
          <w:tcPr>
            <w:tcW w:w="6375" w:type="dxa"/>
            <w:vAlign w:val="center"/>
          </w:tcPr>
          <w:p>
            <w:pPr>
              <w:spacing w:line="360" w:lineRule="auto"/>
              <w:jc w:val="left"/>
              <w:rPr>
                <w:rFonts w:hint="eastAsia" w:ascii="宋体" w:hAnsi="宋体" w:eastAsia="宋体" w:cs="宋体"/>
                <w:sz w:val="22"/>
                <w:szCs w:val="22"/>
                <w:lang w:val="en-US" w:eastAsia="zh-CN" w:bidi="en-US"/>
              </w:rPr>
            </w:pPr>
            <w:r>
              <w:rPr>
                <w:rFonts w:hint="eastAsia" w:ascii="宋体" w:hAnsi="宋体" w:cs="宋体"/>
                <w:sz w:val="22"/>
                <w:szCs w:val="22"/>
              </w:rPr>
              <w:t>根据投标人对</w:t>
            </w:r>
            <w:r>
              <w:rPr>
                <w:rFonts w:hint="eastAsia" w:ascii="宋体" w:hAnsi="宋体" w:cs="宋体"/>
                <w:sz w:val="22"/>
                <w:szCs w:val="22"/>
                <w:lang w:val="en-US" w:eastAsia="zh-CN"/>
              </w:rPr>
              <w:t>除展位、会场以外的现场功能区（服务台、问询处等）进行设置及规划</w:t>
            </w:r>
            <w:r>
              <w:rPr>
                <w:rFonts w:hint="eastAsia" w:ascii="宋体" w:hAnsi="宋体" w:cs="宋体"/>
                <w:sz w:val="22"/>
                <w:szCs w:val="22"/>
              </w:rPr>
              <w:t>，由评委进行评分，优的得</w:t>
            </w:r>
            <w:r>
              <w:rPr>
                <w:rFonts w:hint="eastAsia" w:ascii="宋体" w:hAnsi="宋体" w:cs="宋体"/>
                <w:sz w:val="22"/>
                <w:szCs w:val="22"/>
                <w:lang w:val="en-US" w:eastAsia="zh-CN"/>
              </w:rPr>
              <w:t>2</w:t>
            </w:r>
            <w:r>
              <w:rPr>
                <w:rFonts w:hint="eastAsia" w:ascii="宋体" w:hAnsi="宋体" w:cs="宋体"/>
                <w:sz w:val="22"/>
                <w:szCs w:val="22"/>
              </w:rPr>
              <w:t>分，一般的得1分，未提供的则不得分。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hint="default"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8</w:t>
            </w:r>
          </w:p>
        </w:tc>
        <w:tc>
          <w:tcPr>
            <w:tcW w:w="1843" w:type="dxa"/>
            <w:vAlign w:val="center"/>
          </w:tcPr>
          <w:p>
            <w:pPr>
              <w:spacing w:line="360" w:lineRule="auto"/>
              <w:jc w:val="center"/>
              <w:rPr>
                <w:rFonts w:hint="eastAsia" w:ascii="宋体" w:hAnsi="宋体" w:eastAsia="宋体" w:cs="宋体"/>
                <w:sz w:val="22"/>
                <w:szCs w:val="22"/>
                <w:lang w:val="en-US" w:eastAsia="zh-CN" w:bidi="en-US"/>
              </w:rPr>
            </w:pPr>
            <w:r>
              <w:rPr>
                <w:rFonts w:hint="eastAsia" w:ascii="宋体" w:hAnsi="宋体" w:cs="宋体"/>
                <w:sz w:val="22"/>
                <w:szCs w:val="22"/>
              </w:rPr>
              <w:t>氛围</w:t>
            </w:r>
            <w:r>
              <w:rPr>
                <w:rFonts w:hint="eastAsia" w:ascii="宋体" w:hAnsi="宋体" w:cs="宋体"/>
                <w:sz w:val="22"/>
                <w:szCs w:val="22"/>
                <w:lang w:val="en-US" w:eastAsia="zh-CN"/>
              </w:rPr>
              <w:t>设计</w:t>
            </w:r>
            <w:r>
              <w:rPr>
                <w:rFonts w:hint="eastAsia" w:ascii="宋体" w:hAnsi="宋体" w:cs="宋体"/>
                <w:sz w:val="22"/>
                <w:szCs w:val="22"/>
              </w:rPr>
              <w:t>方案</w:t>
            </w:r>
          </w:p>
        </w:tc>
        <w:tc>
          <w:tcPr>
            <w:tcW w:w="992" w:type="dxa"/>
            <w:vAlign w:val="center"/>
          </w:tcPr>
          <w:p>
            <w:pPr>
              <w:spacing w:line="360" w:lineRule="auto"/>
              <w:jc w:val="center"/>
              <w:rPr>
                <w:rFonts w:hint="eastAsia" w:ascii="宋体" w:hAnsi="宋体" w:eastAsia="宋体" w:cs="宋体"/>
                <w:sz w:val="22"/>
                <w:szCs w:val="22"/>
                <w:lang w:val="en-US" w:eastAsia="en-US" w:bidi="en-US"/>
              </w:rPr>
            </w:pPr>
            <w:r>
              <w:rPr>
                <w:rFonts w:hint="eastAsia" w:ascii="宋体" w:hAnsi="宋体" w:cs="宋体"/>
                <w:sz w:val="22"/>
                <w:szCs w:val="22"/>
              </w:rPr>
              <w:t>3</w:t>
            </w:r>
          </w:p>
        </w:tc>
        <w:tc>
          <w:tcPr>
            <w:tcW w:w="6375" w:type="dxa"/>
            <w:vAlign w:val="center"/>
          </w:tcPr>
          <w:p>
            <w:pPr>
              <w:spacing w:line="360" w:lineRule="auto"/>
              <w:jc w:val="left"/>
              <w:rPr>
                <w:rFonts w:hint="eastAsia" w:ascii="宋体" w:hAnsi="宋体" w:eastAsia="宋体" w:cs="宋体"/>
                <w:sz w:val="22"/>
                <w:szCs w:val="22"/>
                <w:lang w:val="en-US" w:eastAsia="zh-CN" w:bidi="en-US"/>
              </w:rPr>
            </w:pPr>
            <w:r>
              <w:rPr>
                <w:rFonts w:hint="eastAsia" w:ascii="宋体" w:hAnsi="宋体" w:cs="宋体"/>
                <w:sz w:val="22"/>
                <w:szCs w:val="22"/>
              </w:rPr>
              <w:t>根据投标人提供的</w:t>
            </w:r>
            <w:r>
              <w:rPr>
                <w:rFonts w:hint="eastAsia" w:ascii="宋体" w:hAnsi="宋体" w:cs="宋体"/>
                <w:sz w:val="22"/>
                <w:szCs w:val="22"/>
                <w:lang w:val="en-US" w:eastAsia="zh-CN"/>
              </w:rPr>
              <w:t>氛围</w:t>
            </w:r>
            <w:r>
              <w:rPr>
                <w:rFonts w:hint="eastAsia" w:ascii="宋体" w:hAnsi="宋体" w:cs="宋体"/>
                <w:sz w:val="22"/>
                <w:szCs w:val="22"/>
              </w:rPr>
              <w:t>效果图，设计新颖、色调和谐、版面清晰、整体美观、完整等情况，以及提供的氛围布置方案，是否兼具艺术与实用性，设计新颖且内外场相呼应，营造盛大的氛围效果，由评委进行评分，优的得3分，良的得2分，一般的得1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hint="default"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9</w:t>
            </w:r>
          </w:p>
        </w:tc>
        <w:tc>
          <w:tcPr>
            <w:tcW w:w="1843" w:type="dxa"/>
            <w:vAlign w:val="center"/>
          </w:tcPr>
          <w:p>
            <w:pPr>
              <w:spacing w:line="360" w:lineRule="auto"/>
              <w:jc w:val="center"/>
              <w:rPr>
                <w:rFonts w:hint="default" w:ascii="宋体" w:hAnsi="宋体" w:eastAsia="宋体" w:cs="宋体"/>
                <w:sz w:val="22"/>
                <w:szCs w:val="22"/>
                <w:lang w:val="en-US" w:eastAsia="zh-CN" w:bidi="en-US"/>
              </w:rPr>
            </w:pPr>
            <w:r>
              <w:rPr>
                <w:rFonts w:hint="eastAsia" w:ascii="宋体" w:hAnsi="宋体" w:cs="宋体"/>
                <w:sz w:val="22"/>
                <w:szCs w:val="22"/>
                <w:lang w:val="en-US" w:eastAsia="zh-CN" w:bidi="en-US"/>
              </w:rPr>
              <w:t>会议服务方案</w:t>
            </w:r>
          </w:p>
        </w:tc>
        <w:tc>
          <w:tcPr>
            <w:tcW w:w="992" w:type="dxa"/>
            <w:vAlign w:val="center"/>
          </w:tcPr>
          <w:p>
            <w:pPr>
              <w:spacing w:line="360" w:lineRule="auto"/>
              <w:jc w:val="center"/>
              <w:rPr>
                <w:rFonts w:hint="eastAsia" w:ascii="宋体" w:hAnsi="宋体" w:eastAsia="宋体" w:cs="宋体"/>
                <w:sz w:val="22"/>
                <w:szCs w:val="22"/>
                <w:lang w:val="en-US" w:eastAsia="zh-CN" w:bidi="en-US"/>
              </w:rPr>
            </w:pPr>
            <w:r>
              <w:rPr>
                <w:rFonts w:hint="eastAsia" w:ascii="宋体" w:hAnsi="宋体" w:cs="宋体"/>
                <w:sz w:val="22"/>
                <w:szCs w:val="22"/>
                <w:lang w:val="en-US" w:eastAsia="zh-CN" w:bidi="en-US"/>
              </w:rPr>
              <w:t>5</w:t>
            </w:r>
          </w:p>
        </w:tc>
        <w:tc>
          <w:tcPr>
            <w:tcW w:w="6375" w:type="dxa"/>
            <w:vAlign w:val="center"/>
          </w:tcPr>
          <w:p>
            <w:pPr>
              <w:spacing w:line="360" w:lineRule="auto"/>
              <w:jc w:val="left"/>
              <w:rPr>
                <w:rFonts w:hint="default" w:ascii="宋体" w:hAnsi="宋体" w:eastAsia="宋体" w:cs="宋体"/>
                <w:sz w:val="22"/>
                <w:szCs w:val="22"/>
                <w:lang w:val="en-US" w:eastAsia="zh-CN" w:bidi="en-US"/>
              </w:rPr>
            </w:pPr>
            <w:r>
              <w:rPr>
                <w:rFonts w:hint="eastAsia" w:ascii="宋体" w:hAnsi="宋体" w:cs="宋体"/>
                <w:sz w:val="22"/>
                <w:szCs w:val="22"/>
                <w:lang w:val="en-US" w:eastAsia="zh-CN" w:bidi="en-US"/>
              </w:rPr>
              <w:t>根据投标人提供的会场、开幕式的设计、搭建及会务服务，是否能够满足招标方的会议需求，符合展会及会议主题，</w:t>
            </w:r>
            <w:r>
              <w:rPr>
                <w:rFonts w:hint="eastAsia" w:ascii="宋体" w:hAnsi="宋体" w:cs="宋体"/>
                <w:sz w:val="22"/>
                <w:szCs w:val="22"/>
              </w:rPr>
              <w:t>由评委进行评分，优的得3分，良的得2分，一般的得1分，未提供的则不得分。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hint="default"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10</w:t>
            </w:r>
          </w:p>
        </w:tc>
        <w:tc>
          <w:tcPr>
            <w:tcW w:w="1843" w:type="dxa"/>
            <w:vAlign w:val="center"/>
          </w:tcPr>
          <w:p>
            <w:pPr>
              <w:spacing w:line="360" w:lineRule="auto"/>
              <w:jc w:val="center"/>
              <w:rPr>
                <w:rFonts w:hint="default" w:ascii="宋体" w:hAnsi="宋体" w:eastAsia="宋体" w:cs="宋体"/>
                <w:sz w:val="22"/>
                <w:szCs w:val="22"/>
                <w:lang w:val="en-US" w:eastAsia="zh-CN" w:bidi="en-US"/>
              </w:rPr>
            </w:pPr>
            <w:r>
              <w:rPr>
                <w:rFonts w:hint="eastAsia" w:ascii="宋体" w:hAnsi="宋体" w:cs="宋体"/>
                <w:sz w:val="22"/>
                <w:szCs w:val="22"/>
                <w:lang w:val="en-US" w:eastAsia="zh-CN"/>
              </w:rPr>
              <w:t>搭建商管理方案</w:t>
            </w:r>
          </w:p>
        </w:tc>
        <w:tc>
          <w:tcPr>
            <w:tcW w:w="992" w:type="dxa"/>
            <w:vAlign w:val="center"/>
          </w:tcPr>
          <w:p>
            <w:pPr>
              <w:spacing w:line="360" w:lineRule="auto"/>
              <w:jc w:val="center"/>
              <w:rPr>
                <w:rFonts w:hint="eastAsia" w:ascii="宋体" w:hAnsi="宋体" w:eastAsia="宋体" w:cs="宋体"/>
                <w:sz w:val="22"/>
                <w:szCs w:val="22"/>
                <w:lang w:val="en-US" w:eastAsia="en-US" w:bidi="en-US"/>
              </w:rPr>
            </w:pPr>
            <w:r>
              <w:rPr>
                <w:rFonts w:hint="eastAsia" w:ascii="宋体" w:hAnsi="宋体" w:cs="宋体"/>
                <w:sz w:val="22"/>
                <w:szCs w:val="22"/>
              </w:rPr>
              <w:t>3</w:t>
            </w:r>
          </w:p>
        </w:tc>
        <w:tc>
          <w:tcPr>
            <w:tcW w:w="6375" w:type="dxa"/>
            <w:vAlign w:val="center"/>
          </w:tcPr>
          <w:p>
            <w:pPr>
              <w:spacing w:line="360" w:lineRule="auto"/>
              <w:jc w:val="left"/>
              <w:rPr>
                <w:rFonts w:hint="eastAsia" w:ascii="宋体" w:hAnsi="宋体" w:eastAsia="宋体" w:cs="宋体"/>
                <w:sz w:val="22"/>
                <w:szCs w:val="22"/>
                <w:lang w:val="en-US" w:eastAsia="zh-CN" w:bidi="en-US"/>
              </w:rPr>
            </w:pPr>
            <w:r>
              <w:rPr>
                <w:rFonts w:hint="eastAsia" w:ascii="宋体" w:hAnsi="宋体" w:cs="宋体"/>
                <w:sz w:val="22"/>
                <w:szCs w:val="22"/>
              </w:rPr>
              <w:t>根据投标人提供的</w:t>
            </w:r>
            <w:r>
              <w:rPr>
                <w:rFonts w:hint="eastAsia" w:ascii="宋体" w:hAnsi="宋体" w:cs="宋体"/>
                <w:sz w:val="22"/>
                <w:szCs w:val="22"/>
                <w:lang w:val="en-US" w:eastAsia="zh-CN"/>
              </w:rPr>
              <w:t>搭建商管理及推荐搭建商考察及管理办法</w:t>
            </w:r>
            <w:r>
              <w:rPr>
                <w:rFonts w:hint="eastAsia" w:ascii="宋体" w:hAnsi="宋体" w:cs="宋体"/>
                <w:sz w:val="22"/>
                <w:szCs w:val="22"/>
              </w:rPr>
              <w:t>，</w:t>
            </w:r>
            <w:r>
              <w:rPr>
                <w:rFonts w:hint="eastAsia" w:ascii="宋体" w:hAnsi="宋体" w:cs="宋体"/>
                <w:sz w:val="22"/>
                <w:szCs w:val="22"/>
                <w:lang w:val="en-US" w:eastAsia="zh-CN"/>
              </w:rPr>
              <w:t>是否兼具合理性及可行性，有效提升特装展位搭建质量及效率，</w:t>
            </w:r>
            <w:r>
              <w:rPr>
                <w:rFonts w:hint="eastAsia" w:ascii="宋体" w:hAnsi="宋体" w:cs="宋体"/>
                <w:sz w:val="22"/>
                <w:szCs w:val="22"/>
              </w:rPr>
              <w:t>由评委进行评分，优的得3分，良的得2分，一般的得1分，未提供的则不得分。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hint="default" w:cs="宋体" w:asciiTheme="minorEastAsia" w:hAnsiTheme="minorEastAsia" w:eastAsiaTheme="minorEastAsia"/>
                <w:color w:val="000000" w:themeColor="text1"/>
                <w:sz w:val="22"/>
                <w:szCs w:val="22"/>
                <w:lang w:val="en-US"/>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12</w:t>
            </w:r>
          </w:p>
        </w:tc>
        <w:tc>
          <w:tcPr>
            <w:tcW w:w="1843" w:type="dxa"/>
            <w:vAlign w:val="center"/>
          </w:tcPr>
          <w:p>
            <w:pPr>
              <w:spacing w:line="360" w:lineRule="auto"/>
              <w:jc w:val="center"/>
              <w:rPr>
                <w:rFonts w:hint="default" w:ascii="宋体" w:hAnsi="宋体" w:eastAsia="宋体" w:cs="宋体"/>
                <w:sz w:val="22"/>
                <w:szCs w:val="22"/>
                <w:lang w:val="en-US" w:eastAsia="zh-CN" w:bidi="ar"/>
              </w:rPr>
            </w:pPr>
            <w:r>
              <w:rPr>
                <w:rFonts w:hint="eastAsia" w:ascii="宋体" w:hAnsi="宋体" w:cs="宋体"/>
                <w:sz w:val="22"/>
                <w:szCs w:val="22"/>
                <w:lang w:val="en-US" w:eastAsia="zh-CN" w:bidi="ar"/>
              </w:rPr>
              <w:t>整体接待方案</w:t>
            </w:r>
          </w:p>
        </w:tc>
        <w:tc>
          <w:tcPr>
            <w:tcW w:w="992" w:type="dxa"/>
            <w:vAlign w:val="center"/>
          </w:tcPr>
          <w:p>
            <w:pPr>
              <w:spacing w:line="360" w:lineRule="auto"/>
              <w:jc w:val="center"/>
              <w:rPr>
                <w:rFonts w:hint="eastAsia" w:ascii="宋体" w:hAnsi="宋体" w:eastAsia="宋体" w:cs="宋体"/>
                <w:sz w:val="22"/>
                <w:szCs w:val="22"/>
                <w:lang w:val="en-US" w:eastAsia="zh-CN" w:bidi="en-US"/>
              </w:rPr>
            </w:pPr>
            <w:r>
              <w:rPr>
                <w:rFonts w:hint="eastAsia" w:ascii="宋体" w:hAnsi="宋体" w:cs="宋体"/>
                <w:sz w:val="22"/>
                <w:szCs w:val="22"/>
                <w:lang w:val="en-US" w:eastAsia="zh-CN" w:bidi="en-US"/>
              </w:rPr>
              <w:t>6</w:t>
            </w:r>
          </w:p>
        </w:tc>
        <w:tc>
          <w:tcPr>
            <w:tcW w:w="6375" w:type="dxa"/>
            <w:vAlign w:val="center"/>
          </w:tcPr>
          <w:p>
            <w:pPr>
              <w:spacing w:line="360" w:lineRule="auto"/>
              <w:rPr>
                <w:rFonts w:hint="default" w:ascii="宋体" w:hAnsi="宋体" w:eastAsia="宋体" w:cs="宋体"/>
                <w:sz w:val="22"/>
                <w:szCs w:val="22"/>
                <w:lang w:val="en-US" w:eastAsia="zh-CN" w:bidi="ar"/>
              </w:rPr>
            </w:pPr>
            <w:r>
              <w:rPr>
                <w:rFonts w:hint="eastAsia" w:ascii="宋体" w:hAnsi="宋体" w:cs="宋体"/>
                <w:sz w:val="22"/>
                <w:szCs w:val="22"/>
                <w:lang w:val="en-US" w:eastAsia="zh-CN" w:bidi="ar"/>
              </w:rPr>
              <w:t>根据投标人提供的接待整体方案，从车辆、酒店、接送、签到、用餐、晚宴等安排，是否合理，全面，满足招标方需求，</w:t>
            </w:r>
            <w:r>
              <w:rPr>
                <w:rFonts w:hint="eastAsia" w:ascii="宋体" w:hAnsi="宋体" w:cs="宋体"/>
                <w:sz w:val="22"/>
                <w:szCs w:val="22"/>
              </w:rPr>
              <w:t>由评委进行评分，优的得</w:t>
            </w:r>
            <w:r>
              <w:rPr>
                <w:rFonts w:hint="eastAsia" w:ascii="宋体" w:hAnsi="宋体" w:cs="宋体"/>
                <w:sz w:val="22"/>
                <w:szCs w:val="22"/>
                <w:lang w:val="en-US" w:eastAsia="zh-CN"/>
              </w:rPr>
              <w:t>6</w:t>
            </w:r>
            <w:r>
              <w:rPr>
                <w:rFonts w:hint="eastAsia" w:ascii="宋体" w:hAnsi="宋体" w:cs="宋体"/>
                <w:sz w:val="22"/>
                <w:szCs w:val="22"/>
              </w:rPr>
              <w:t>分，良的得</w:t>
            </w:r>
            <w:r>
              <w:rPr>
                <w:rFonts w:hint="eastAsia" w:ascii="宋体" w:hAnsi="宋体" w:cs="宋体"/>
                <w:sz w:val="22"/>
                <w:szCs w:val="22"/>
                <w:lang w:val="en-US" w:eastAsia="zh-CN"/>
              </w:rPr>
              <w:t>4</w:t>
            </w:r>
            <w:r>
              <w:rPr>
                <w:rFonts w:hint="eastAsia" w:ascii="宋体" w:hAnsi="宋体" w:cs="宋体"/>
                <w:sz w:val="22"/>
                <w:szCs w:val="22"/>
              </w:rPr>
              <w:t>分，一般的得</w:t>
            </w:r>
            <w:r>
              <w:rPr>
                <w:rFonts w:hint="eastAsia" w:ascii="宋体" w:hAnsi="宋体" w:cs="宋体"/>
                <w:sz w:val="22"/>
                <w:szCs w:val="22"/>
                <w:lang w:val="en-US" w:eastAsia="zh-CN"/>
              </w:rPr>
              <w:t>2</w:t>
            </w:r>
            <w:r>
              <w:rPr>
                <w:rFonts w:hint="eastAsia" w:ascii="宋体" w:hAnsi="宋体" w:cs="宋体"/>
                <w:sz w:val="22"/>
                <w:szCs w:val="22"/>
              </w:rPr>
              <w:t>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hint="default"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13</w:t>
            </w:r>
          </w:p>
        </w:tc>
        <w:tc>
          <w:tcPr>
            <w:tcW w:w="1843" w:type="dxa"/>
            <w:vAlign w:val="center"/>
          </w:tcPr>
          <w:p>
            <w:pPr>
              <w:snapToGrid w:val="0"/>
              <w:jc w:val="center"/>
              <w:rPr>
                <w:rFonts w:hint="default"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执行团队情况</w:t>
            </w:r>
          </w:p>
        </w:tc>
        <w:tc>
          <w:tcPr>
            <w:tcW w:w="992" w:type="dxa"/>
            <w:vAlign w:val="center"/>
          </w:tcPr>
          <w:p>
            <w:pPr>
              <w:spacing w:line="360" w:lineRule="auto"/>
              <w:jc w:val="center"/>
              <w:rPr>
                <w:rFonts w:hint="eastAsia" w:ascii="宋体" w:hAnsi="宋体" w:eastAsia="宋体" w:cs="宋体"/>
                <w:sz w:val="22"/>
                <w:szCs w:val="22"/>
                <w:lang w:val="en-US" w:eastAsia="en-US" w:bidi="en-US"/>
              </w:rPr>
            </w:pPr>
            <w:r>
              <w:rPr>
                <w:rFonts w:hint="eastAsia" w:ascii="宋体" w:hAnsi="宋体" w:cs="宋体"/>
                <w:sz w:val="22"/>
                <w:szCs w:val="22"/>
              </w:rPr>
              <w:t>3</w:t>
            </w:r>
          </w:p>
        </w:tc>
        <w:tc>
          <w:tcPr>
            <w:tcW w:w="6375" w:type="dxa"/>
            <w:vAlign w:val="center"/>
          </w:tcPr>
          <w:p>
            <w:pPr>
              <w:spacing w:line="360" w:lineRule="auto"/>
              <w:rPr>
                <w:rFonts w:hint="eastAsia" w:ascii="宋体" w:hAnsi="宋体" w:eastAsia="宋体" w:cs="宋体"/>
                <w:sz w:val="22"/>
                <w:szCs w:val="22"/>
                <w:lang w:val="en-US" w:eastAsia="en-US" w:bidi="ar"/>
              </w:rPr>
            </w:pPr>
            <w:r>
              <w:rPr>
                <w:rFonts w:hint="eastAsia" w:ascii="宋体" w:hAnsi="宋体" w:cs="宋体"/>
                <w:sz w:val="22"/>
                <w:szCs w:val="22"/>
              </w:rPr>
              <w:t>根据投标人项目执行团队及团队架构完善程度情况，设计人员、</w:t>
            </w:r>
            <w:r>
              <w:rPr>
                <w:rFonts w:hint="eastAsia" w:ascii="宋体" w:hAnsi="宋体" w:cs="宋体"/>
                <w:sz w:val="22"/>
                <w:szCs w:val="22"/>
                <w:lang w:val="en-US" w:eastAsia="zh-CN"/>
              </w:rPr>
              <w:t>安全管理</w:t>
            </w:r>
            <w:r>
              <w:rPr>
                <w:rFonts w:hint="eastAsia" w:ascii="宋体" w:hAnsi="宋体" w:cs="宋体"/>
                <w:sz w:val="22"/>
                <w:szCs w:val="22"/>
              </w:rPr>
              <w:t>人员</w:t>
            </w:r>
            <w:r>
              <w:rPr>
                <w:rFonts w:hint="eastAsia" w:ascii="宋体" w:hAnsi="宋体" w:cs="宋体"/>
                <w:sz w:val="22"/>
                <w:szCs w:val="22"/>
                <w:lang w:eastAsia="zh-CN"/>
              </w:rPr>
              <w:t>、</w:t>
            </w:r>
            <w:r>
              <w:rPr>
                <w:rFonts w:hint="eastAsia" w:ascii="宋体" w:hAnsi="宋体" w:cs="宋体"/>
                <w:sz w:val="22"/>
                <w:szCs w:val="22"/>
                <w:lang w:val="en-US" w:eastAsia="zh-CN"/>
              </w:rPr>
              <w:t>执行人员</w:t>
            </w:r>
            <w:r>
              <w:rPr>
                <w:rFonts w:hint="eastAsia" w:ascii="宋体" w:hAnsi="宋体" w:cs="宋体"/>
                <w:sz w:val="22"/>
                <w:szCs w:val="22"/>
              </w:rPr>
              <w:t>安排是否符合本项目要求，由评委进行评分，优的得3分，良的得2分，一般的得1分，未提供的则不得分。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hint="default"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14</w:t>
            </w:r>
          </w:p>
        </w:tc>
        <w:tc>
          <w:tcPr>
            <w:tcW w:w="1843" w:type="dxa"/>
            <w:vAlign w:val="center"/>
          </w:tcPr>
          <w:p>
            <w:pPr>
              <w:adjustRightInd w:val="0"/>
              <w:snapToGrid w:val="0"/>
              <w:spacing w:line="360" w:lineRule="exact"/>
              <w:jc w:val="center"/>
              <w:textAlignment w:val="baseline"/>
              <w:rPr>
                <w:rFonts w:hint="eastAsia" w:ascii="宋体" w:hAnsi="宋体" w:eastAsia="宋体" w:cs="宋体"/>
                <w:sz w:val="22"/>
                <w:szCs w:val="22"/>
                <w:lang w:val="en-US" w:eastAsia="zh-CN" w:bidi="en-US"/>
              </w:rPr>
            </w:pPr>
            <w:r>
              <w:rPr>
                <w:rFonts w:hint="eastAsia" w:ascii="宋体" w:hAnsi="宋体" w:cs="宋体"/>
                <w:sz w:val="22"/>
                <w:szCs w:val="22"/>
              </w:rPr>
              <w:t>招商招展方案</w:t>
            </w:r>
          </w:p>
        </w:tc>
        <w:tc>
          <w:tcPr>
            <w:tcW w:w="992" w:type="dxa"/>
            <w:vAlign w:val="center"/>
          </w:tcPr>
          <w:p>
            <w:pPr>
              <w:spacing w:line="360" w:lineRule="auto"/>
              <w:jc w:val="center"/>
              <w:rPr>
                <w:rFonts w:hint="eastAsia" w:ascii="宋体" w:hAnsi="宋体" w:eastAsia="宋体" w:cs="宋体"/>
                <w:sz w:val="22"/>
                <w:szCs w:val="22"/>
                <w:lang w:val="en-US" w:eastAsia="en-US" w:bidi="en-US"/>
              </w:rPr>
            </w:pPr>
            <w:r>
              <w:rPr>
                <w:rFonts w:hint="eastAsia" w:ascii="宋体" w:hAnsi="宋体" w:cs="宋体"/>
                <w:sz w:val="22"/>
                <w:szCs w:val="22"/>
              </w:rPr>
              <w:t>3</w:t>
            </w:r>
          </w:p>
        </w:tc>
        <w:tc>
          <w:tcPr>
            <w:tcW w:w="6375" w:type="dxa"/>
            <w:vAlign w:val="center"/>
          </w:tcPr>
          <w:p>
            <w:pPr>
              <w:spacing w:line="360" w:lineRule="auto"/>
              <w:jc w:val="left"/>
              <w:rPr>
                <w:rFonts w:hint="eastAsia" w:ascii="宋体" w:hAnsi="宋体" w:eastAsia="宋体" w:cs="宋体"/>
                <w:sz w:val="22"/>
                <w:szCs w:val="22"/>
                <w:lang w:val="en-US" w:eastAsia="zh-CN" w:bidi="en-US"/>
              </w:rPr>
            </w:pPr>
            <w:r>
              <w:rPr>
                <w:rFonts w:hint="eastAsia" w:ascii="宋体" w:hAnsi="宋体" w:cs="宋体"/>
                <w:sz w:val="22"/>
                <w:szCs w:val="22"/>
              </w:rPr>
              <w:t>根据投标人提供的招商方案，是否能够提升展会的招展及邀约观众的效果，从方案的可行性、准确性等方面，由评委进行评分，优的得3分，良的得2分，一般的得1分，未提供的则不得分。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hint="default"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15</w:t>
            </w:r>
          </w:p>
        </w:tc>
        <w:tc>
          <w:tcPr>
            <w:tcW w:w="1843" w:type="dxa"/>
            <w:vAlign w:val="center"/>
          </w:tcPr>
          <w:p>
            <w:pPr>
              <w:spacing w:line="360" w:lineRule="auto"/>
              <w:jc w:val="center"/>
              <w:rPr>
                <w:rFonts w:hint="eastAsia" w:ascii="宋体" w:hAnsi="宋体" w:eastAsia="宋体" w:cs="宋体"/>
                <w:sz w:val="22"/>
                <w:szCs w:val="22"/>
                <w:lang w:val="en-US" w:eastAsia="zh-CN" w:bidi="en-US"/>
              </w:rPr>
            </w:pPr>
            <w:r>
              <w:rPr>
                <w:rFonts w:hint="eastAsia" w:ascii="宋体" w:hAnsi="宋体" w:cs="宋体"/>
                <w:sz w:val="22"/>
                <w:szCs w:val="22"/>
                <w:lang w:val="en-US" w:eastAsia="zh-CN" w:bidi="ar"/>
              </w:rPr>
              <w:t>展会</w:t>
            </w:r>
            <w:r>
              <w:rPr>
                <w:rFonts w:hint="eastAsia" w:ascii="宋体" w:hAnsi="宋体" w:cs="宋体"/>
                <w:sz w:val="22"/>
                <w:szCs w:val="22"/>
                <w:lang w:bidi="ar"/>
              </w:rPr>
              <w:t>保障方案</w:t>
            </w:r>
          </w:p>
        </w:tc>
        <w:tc>
          <w:tcPr>
            <w:tcW w:w="992" w:type="dxa"/>
            <w:vAlign w:val="center"/>
          </w:tcPr>
          <w:p>
            <w:pPr>
              <w:spacing w:line="360" w:lineRule="auto"/>
              <w:jc w:val="center"/>
              <w:rPr>
                <w:rFonts w:hint="eastAsia" w:ascii="宋体" w:hAnsi="宋体" w:eastAsia="宋体" w:cs="宋体"/>
                <w:sz w:val="22"/>
                <w:szCs w:val="22"/>
                <w:lang w:val="en-US" w:eastAsia="en-US" w:bidi="en-US"/>
              </w:rPr>
            </w:pPr>
            <w:r>
              <w:rPr>
                <w:rFonts w:hint="eastAsia" w:ascii="宋体" w:hAnsi="宋体" w:cs="宋体"/>
                <w:sz w:val="22"/>
                <w:szCs w:val="22"/>
              </w:rPr>
              <w:t>3</w:t>
            </w:r>
          </w:p>
        </w:tc>
        <w:tc>
          <w:tcPr>
            <w:tcW w:w="6375" w:type="dxa"/>
            <w:vAlign w:val="center"/>
          </w:tcPr>
          <w:p>
            <w:pPr>
              <w:spacing w:line="360" w:lineRule="auto"/>
              <w:jc w:val="left"/>
              <w:rPr>
                <w:rFonts w:hint="eastAsia" w:ascii="宋体" w:hAnsi="宋体" w:eastAsia="宋体" w:cs="宋体"/>
                <w:sz w:val="22"/>
                <w:szCs w:val="22"/>
                <w:lang w:val="en-US" w:eastAsia="zh-CN" w:bidi="en-US"/>
              </w:rPr>
            </w:pPr>
            <w:r>
              <w:rPr>
                <w:rFonts w:hint="eastAsia" w:ascii="宋体" w:hAnsi="宋体" w:cs="宋体"/>
                <w:sz w:val="22"/>
                <w:szCs w:val="22"/>
                <w:lang w:bidi="ar"/>
              </w:rPr>
              <w:t>根据投标人提供的</w:t>
            </w:r>
            <w:r>
              <w:rPr>
                <w:rFonts w:hint="eastAsia" w:ascii="宋体" w:hAnsi="宋体" w:cs="宋体"/>
                <w:sz w:val="22"/>
                <w:szCs w:val="22"/>
                <w:lang w:val="en-US" w:eastAsia="zh-CN" w:bidi="ar"/>
              </w:rPr>
              <w:t>展会</w:t>
            </w:r>
            <w:r>
              <w:rPr>
                <w:rFonts w:hint="eastAsia" w:ascii="宋体" w:hAnsi="宋体" w:cs="宋体"/>
                <w:sz w:val="22"/>
                <w:szCs w:val="22"/>
                <w:lang w:bidi="ar"/>
              </w:rPr>
              <w:t>保障方案（含</w:t>
            </w:r>
            <w:r>
              <w:rPr>
                <w:rFonts w:hint="eastAsia" w:ascii="宋体" w:hAnsi="宋体" w:cs="宋体"/>
                <w:sz w:val="22"/>
                <w:szCs w:val="22"/>
                <w:lang w:val="en-US" w:eastAsia="zh-CN" w:bidi="ar"/>
              </w:rPr>
              <w:t>物流</w:t>
            </w:r>
            <w:r>
              <w:rPr>
                <w:rFonts w:hint="eastAsia" w:ascii="宋体" w:hAnsi="宋体" w:cs="宋体"/>
                <w:sz w:val="22"/>
                <w:szCs w:val="22"/>
                <w:lang w:bidi="ar"/>
              </w:rPr>
              <w:t>、安保、其他应急预案等），</w:t>
            </w:r>
            <w:r>
              <w:rPr>
                <w:rFonts w:hint="eastAsia" w:ascii="宋体" w:hAnsi="宋体" w:cs="宋体"/>
                <w:sz w:val="22"/>
                <w:szCs w:val="22"/>
              </w:rPr>
              <w:t>由评委进行评分，优的得3分，良的得2分，一般的得1分，未提供的则不得分。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hint="default"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16</w:t>
            </w:r>
          </w:p>
        </w:tc>
        <w:tc>
          <w:tcPr>
            <w:tcW w:w="1843" w:type="dxa"/>
            <w:vAlign w:val="center"/>
          </w:tcPr>
          <w:p>
            <w:pPr>
              <w:spacing w:line="360" w:lineRule="auto"/>
              <w:jc w:val="center"/>
              <w:rPr>
                <w:rFonts w:hint="eastAsia" w:ascii="宋体" w:hAnsi="宋体" w:eastAsia="宋体" w:cs="宋体"/>
                <w:sz w:val="22"/>
                <w:szCs w:val="22"/>
                <w:lang w:val="en-US" w:eastAsia="zh-CN" w:bidi="ar"/>
              </w:rPr>
            </w:pPr>
            <w:r>
              <w:rPr>
                <w:rFonts w:hint="eastAsia" w:ascii="宋体" w:hAnsi="宋体" w:cs="宋体"/>
                <w:sz w:val="22"/>
                <w:szCs w:val="22"/>
                <w:lang w:val="en-US" w:eastAsia="zh-CN"/>
              </w:rPr>
              <w:t>进度保障</w:t>
            </w:r>
          </w:p>
        </w:tc>
        <w:tc>
          <w:tcPr>
            <w:tcW w:w="992" w:type="dxa"/>
            <w:vAlign w:val="center"/>
          </w:tcPr>
          <w:p>
            <w:pPr>
              <w:spacing w:line="360" w:lineRule="auto"/>
              <w:jc w:val="center"/>
              <w:rPr>
                <w:rFonts w:hint="eastAsia" w:ascii="宋体" w:hAnsi="宋体" w:eastAsia="宋体" w:cs="宋体"/>
                <w:sz w:val="22"/>
                <w:szCs w:val="22"/>
                <w:lang w:val="en-US" w:eastAsia="en-US" w:bidi="en-US"/>
              </w:rPr>
            </w:pPr>
            <w:r>
              <w:rPr>
                <w:rFonts w:hint="eastAsia" w:ascii="宋体" w:hAnsi="宋体" w:cs="宋体"/>
                <w:sz w:val="22"/>
                <w:szCs w:val="22"/>
              </w:rPr>
              <w:t>3</w:t>
            </w:r>
          </w:p>
        </w:tc>
        <w:tc>
          <w:tcPr>
            <w:tcW w:w="6375" w:type="dxa"/>
            <w:vAlign w:val="center"/>
          </w:tcPr>
          <w:p>
            <w:pPr>
              <w:spacing w:line="360" w:lineRule="auto"/>
              <w:rPr>
                <w:rFonts w:hint="eastAsia" w:ascii="宋体" w:hAnsi="宋体" w:eastAsia="宋体" w:cs="宋体"/>
                <w:sz w:val="22"/>
                <w:szCs w:val="22"/>
                <w:lang w:val="en-US" w:eastAsia="zh-CN" w:bidi="ar"/>
              </w:rPr>
            </w:pPr>
            <w:r>
              <w:rPr>
                <w:rFonts w:hint="eastAsia" w:ascii="宋体" w:hAnsi="宋体" w:cs="宋体"/>
                <w:sz w:val="22"/>
                <w:szCs w:val="22"/>
              </w:rPr>
              <w:t>根据投标人提供的工作事项推进方案，工作事项是否完善、进度安排是否合理，由评委进行评分，优的得3分，良的得2分，一般的得1分，未提供的则不得分。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hint="default"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17</w:t>
            </w:r>
          </w:p>
        </w:tc>
        <w:tc>
          <w:tcPr>
            <w:tcW w:w="1843" w:type="dxa"/>
            <w:vAlign w:val="center"/>
          </w:tcPr>
          <w:p>
            <w:pPr>
              <w:spacing w:line="360" w:lineRule="auto"/>
              <w:jc w:val="center"/>
              <w:rPr>
                <w:rFonts w:hint="default" w:ascii="宋体" w:hAnsi="宋体" w:eastAsia="宋体" w:cs="宋体"/>
                <w:sz w:val="22"/>
                <w:szCs w:val="22"/>
                <w:lang w:val="en-US" w:eastAsia="zh-CN" w:bidi="ar"/>
              </w:rPr>
            </w:pPr>
            <w:r>
              <w:rPr>
                <w:rFonts w:hint="eastAsia" w:ascii="宋体" w:hAnsi="宋体" w:cs="宋体"/>
                <w:sz w:val="22"/>
                <w:szCs w:val="22"/>
                <w:lang w:val="en-US" w:eastAsia="zh-CN" w:bidi="ar"/>
              </w:rPr>
              <w:t>展务信息化</w:t>
            </w:r>
          </w:p>
        </w:tc>
        <w:tc>
          <w:tcPr>
            <w:tcW w:w="992" w:type="dxa"/>
            <w:vAlign w:val="center"/>
          </w:tcPr>
          <w:p>
            <w:pPr>
              <w:spacing w:line="36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2</w:t>
            </w:r>
          </w:p>
        </w:tc>
        <w:tc>
          <w:tcPr>
            <w:tcW w:w="6375" w:type="dxa"/>
            <w:vAlign w:val="center"/>
          </w:tcPr>
          <w:p>
            <w:pPr>
              <w:spacing w:line="360" w:lineRule="auto"/>
              <w:rPr>
                <w:rFonts w:hint="default" w:ascii="宋体" w:hAnsi="宋体" w:eastAsia="宋体" w:cs="宋体"/>
                <w:sz w:val="22"/>
                <w:szCs w:val="22"/>
                <w:lang w:val="en-US" w:eastAsia="zh-CN" w:bidi="ar"/>
              </w:rPr>
            </w:pPr>
            <w:r>
              <w:rPr>
                <w:rFonts w:hint="eastAsia" w:ascii="宋体" w:hAnsi="宋体" w:cs="宋体"/>
                <w:sz w:val="22"/>
                <w:szCs w:val="22"/>
                <w:lang w:val="en-US" w:eastAsia="zh-CN" w:bidi="ar"/>
              </w:rPr>
              <w:t>根据投标人展示用于跨境电商展的线上系统，包括但不限于特装报馆、预定缴费、信息收集、违规整改、数据分析等，由评委进行评分，优的得2分，一般的得1分，未提供的则不得分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hint="default"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18</w:t>
            </w:r>
          </w:p>
        </w:tc>
        <w:tc>
          <w:tcPr>
            <w:tcW w:w="1843" w:type="dxa"/>
            <w:vAlign w:val="center"/>
          </w:tcPr>
          <w:p>
            <w:pPr>
              <w:spacing w:line="360" w:lineRule="auto"/>
              <w:jc w:val="center"/>
              <w:rPr>
                <w:rFonts w:hint="default" w:ascii="宋体" w:hAnsi="宋体" w:eastAsia="宋体" w:cs="宋体"/>
                <w:sz w:val="22"/>
                <w:szCs w:val="22"/>
                <w:lang w:val="en-US" w:eastAsia="zh-CN" w:bidi="ar"/>
              </w:rPr>
            </w:pPr>
            <w:r>
              <w:rPr>
                <w:rFonts w:hint="eastAsia" w:ascii="宋体" w:hAnsi="宋体" w:cs="宋体"/>
                <w:sz w:val="22"/>
                <w:szCs w:val="22"/>
                <w:lang w:val="en-US" w:eastAsia="zh-CN" w:bidi="ar"/>
              </w:rPr>
              <w:t>防疫方案</w:t>
            </w:r>
          </w:p>
        </w:tc>
        <w:tc>
          <w:tcPr>
            <w:tcW w:w="992" w:type="dxa"/>
            <w:vAlign w:val="center"/>
          </w:tcPr>
          <w:p>
            <w:pPr>
              <w:spacing w:line="36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2</w:t>
            </w:r>
          </w:p>
        </w:tc>
        <w:tc>
          <w:tcPr>
            <w:tcW w:w="6375" w:type="dxa"/>
            <w:vAlign w:val="center"/>
          </w:tcPr>
          <w:p>
            <w:pPr>
              <w:spacing w:line="360" w:lineRule="auto"/>
              <w:rPr>
                <w:rFonts w:hint="eastAsia" w:ascii="宋体" w:hAnsi="宋体" w:cs="宋体"/>
                <w:sz w:val="22"/>
                <w:szCs w:val="22"/>
                <w:lang w:bidi="ar"/>
              </w:rPr>
            </w:pPr>
            <w:r>
              <w:rPr>
                <w:rFonts w:hint="eastAsia" w:ascii="宋体" w:hAnsi="宋体" w:cs="宋体"/>
                <w:sz w:val="22"/>
                <w:szCs w:val="22"/>
                <w:lang w:val="en-US" w:eastAsia="zh-CN" w:bidi="ar"/>
              </w:rPr>
              <w:t>根据投标人提供的跨境电商展防疫方案，是否符合厦门卫健委防疫要求，兼具合理性与可行性，由评委进行评分，优的得2分，一般的得1分，未提供的则不得分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hint="default"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19</w:t>
            </w:r>
          </w:p>
        </w:tc>
        <w:tc>
          <w:tcPr>
            <w:tcW w:w="1843" w:type="dxa"/>
            <w:vAlign w:val="center"/>
          </w:tcPr>
          <w:p>
            <w:pPr>
              <w:spacing w:line="360" w:lineRule="auto"/>
              <w:jc w:val="center"/>
              <w:rPr>
                <w:rFonts w:hint="eastAsia" w:ascii="宋体" w:hAnsi="宋体" w:eastAsia="宋体" w:cs="宋体"/>
                <w:sz w:val="22"/>
                <w:szCs w:val="22"/>
                <w:lang w:val="en-US" w:eastAsia="en-US" w:bidi="ar"/>
              </w:rPr>
            </w:pPr>
            <w:r>
              <w:rPr>
                <w:rFonts w:hint="eastAsia" w:ascii="宋体" w:hAnsi="宋体" w:cs="宋体"/>
                <w:sz w:val="22"/>
                <w:szCs w:val="22"/>
                <w:lang w:bidi="ar"/>
              </w:rPr>
              <w:t>现场演示答辩</w:t>
            </w:r>
          </w:p>
        </w:tc>
        <w:tc>
          <w:tcPr>
            <w:tcW w:w="992" w:type="dxa"/>
            <w:vAlign w:val="center"/>
          </w:tcPr>
          <w:p>
            <w:pPr>
              <w:spacing w:line="360" w:lineRule="auto"/>
              <w:jc w:val="center"/>
              <w:rPr>
                <w:rFonts w:hint="eastAsia" w:ascii="宋体" w:hAnsi="宋体" w:eastAsia="宋体" w:cs="宋体"/>
                <w:sz w:val="22"/>
                <w:szCs w:val="22"/>
                <w:lang w:val="en-US" w:eastAsia="zh-CN" w:bidi="en-US"/>
              </w:rPr>
            </w:pPr>
            <w:r>
              <w:rPr>
                <w:rFonts w:hint="eastAsia" w:ascii="宋体" w:hAnsi="宋体" w:cs="宋体"/>
                <w:sz w:val="22"/>
                <w:szCs w:val="22"/>
                <w:lang w:val="en-US" w:eastAsia="zh-CN"/>
              </w:rPr>
              <w:t>2</w:t>
            </w:r>
          </w:p>
        </w:tc>
        <w:tc>
          <w:tcPr>
            <w:tcW w:w="6375" w:type="dxa"/>
            <w:vAlign w:val="center"/>
          </w:tcPr>
          <w:p>
            <w:pPr>
              <w:spacing w:line="360" w:lineRule="auto"/>
              <w:rPr>
                <w:rFonts w:hint="eastAsia" w:ascii="宋体" w:hAnsi="宋体" w:eastAsia="宋体" w:cs="宋体"/>
                <w:sz w:val="22"/>
                <w:szCs w:val="22"/>
                <w:lang w:val="en-US" w:eastAsia="en-US" w:bidi="ar"/>
              </w:rPr>
            </w:pPr>
            <w:r>
              <w:rPr>
                <w:rFonts w:hint="eastAsia" w:ascii="宋体" w:hAnsi="宋体" w:cs="宋体"/>
                <w:sz w:val="22"/>
                <w:szCs w:val="22"/>
                <w:lang w:bidi="ar"/>
              </w:rPr>
              <w:t>投标人需对整个设计方案进行演示、答辩，评标委员会根据供应商现场演示、答辩情况进行评分。优的得</w:t>
            </w:r>
            <w:r>
              <w:rPr>
                <w:rFonts w:hint="eastAsia" w:ascii="宋体" w:hAnsi="宋体" w:cs="宋体"/>
                <w:sz w:val="22"/>
                <w:szCs w:val="22"/>
                <w:lang w:val="en-US" w:eastAsia="zh-CN" w:bidi="ar"/>
              </w:rPr>
              <w:t>2</w:t>
            </w:r>
            <w:r>
              <w:rPr>
                <w:rFonts w:hint="eastAsia" w:ascii="宋体" w:hAnsi="宋体" w:cs="宋体"/>
                <w:sz w:val="22"/>
                <w:szCs w:val="22"/>
                <w:lang w:bidi="ar"/>
              </w:rPr>
              <w:t>分，一般的得1分，未演示答辩的不得分。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cs="宋体" w:asciiTheme="minorEastAsia" w:hAnsiTheme="minorEastAsia" w:eastAsiaTheme="minorEastAsia"/>
                <w:color w:val="000000" w:themeColor="text1"/>
                <w:sz w:val="22"/>
                <w:szCs w:val="22"/>
                <w:lang w:eastAsia="zh-CN"/>
                <w14:textFill>
                  <w14:solidFill>
                    <w14:schemeClr w14:val="tx1"/>
                  </w14:solidFill>
                </w14:textFill>
              </w:rPr>
            </w:pPr>
          </w:p>
        </w:tc>
        <w:tc>
          <w:tcPr>
            <w:tcW w:w="1843" w:type="dxa"/>
            <w:vAlign w:val="center"/>
          </w:tcPr>
          <w:p>
            <w:pPr>
              <w:snapToGrid w:val="0"/>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合计</w:t>
            </w:r>
          </w:p>
        </w:tc>
        <w:tc>
          <w:tcPr>
            <w:tcW w:w="992"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5</w:t>
            </w:r>
            <w:r>
              <w:rPr>
                <w:rFonts w:hint="eastAsia" w:cs="宋体" w:asciiTheme="minorEastAsia" w:hAnsiTheme="minorEastAsia" w:eastAsiaTheme="minorEastAsia"/>
                <w:color w:val="000000" w:themeColor="text1"/>
                <w:sz w:val="22"/>
                <w:szCs w:val="22"/>
                <w14:textFill>
                  <w14:solidFill>
                    <w14:schemeClr w14:val="tx1"/>
                  </w14:solidFill>
                </w14:textFill>
              </w:rPr>
              <w:t>5</w:t>
            </w:r>
          </w:p>
        </w:tc>
        <w:tc>
          <w:tcPr>
            <w:tcW w:w="6375" w:type="dxa"/>
            <w:vAlign w:val="center"/>
          </w:tcPr>
          <w:p>
            <w:pPr>
              <w:rPr>
                <w:rFonts w:cs="宋体" w:asciiTheme="minorEastAsia" w:hAnsiTheme="minorEastAsia" w:eastAsiaTheme="minorEastAsia"/>
                <w:color w:val="000000" w:themeColor="text1"/>
                <w:sz w:val="22"/>
                <w:szCs w:val="22"/>
                <w14:textFill>
                  <w14:solidFill>
                    <w14:schemeClr w14:val="tx1"/>
                  </w14:solidFill>
                </w14:textFill>
              </w:rPr>
            </w:pPr>
          </w:p>
        </w:tc>
      </w:tr>
    </w:tbl>
    <w:p>
      <w:pPr>
        <w:pStyle w:val="2"/>
        <w:rPr>
          <w:lang w:eastAsia="zh-CN"/>
        </w:rPr>
      </w:pPr>
    </w:p>
    <w:p>
      <w:pPr>
        <w:adjustRightInd w:val="0"/>
        <w:snapToGrid w:val="0"/>
        <w:spacing w:before="120" w:after="120"/>
        <w:rPr>
          <w:rFonts w:asciiTheme="minorEastAsia" w:hAnsiTheme="minorEastAsia" w:eastAsiaTheme="minorEastAsia"/>
          <w:color w:val="000000" w:themeColor="text1"/>
          <w:lang w:eastAsia="zh-CN"/>
          <w14:textFill>
            <w14:solidFill>
              <w14:schemeClr w14:val="tx1"/>
            </w14:solidFill>
          </w14:textFill>
        </w:rPr>
      </w:pPr>
      <w:r>
        <w:rPr>
          <w:rFonts w:asciiTheme="minorEastAsia" w:hAnsiTheme="minorEastAsia" w:eastAsiaTheme="minorEastAsia"/>
          <w:b/>
          <w:bCs/>
          <w:color w:val="000000" w:themeColor="text1"/>
          <w:lang w:eastAsia="zh-CN"/>
          <w14:textFill>
            <w14:solidFill>
              <w14:schemeClr w14:val="tx1"/>
            </w14:solidFill>
          </w14:textFill>
        </w:rPr>
        <w:t>4</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商务部分</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b/>
          <w:color w:val="000000" w:themeColor="text1"/>
          <w:lang w:eastAsia="zh-CN"/>
          <w14:textFill>
            <w14:solidFill>
              <w14:schemeClr w14:val="tx1"/>
            </w14:solidFill>
          </w14:textFill>
        </w:rPr>
        <w:t>（满分</w:t>
      </w:r>
      <w:r>
        <w:rPr>
          <w:rFonts w:hint="eastAsia" w:asciiTheme="minorEastAsia" w:hAnsiTheme="minorEastAsia" w:eastAsiaTheme="minorEastAsia"/>
          <w:b/>
          <w:color w:val="000000" w:themeColor="text1"/>
          <w:lang w:val="en-US" w:eastAsia="zh-CN"/>
          <w14:textFill>
            <w14:solidFill>
              <w14:schemeClr w14:val="tx1"/>
            </w14:solidFill>
          </w14:textFill>
        </w:rPr>
        <w:t>35</w:t>
      </w:r>
      <w:r>
        <w:rPr>
          <w:rFonts w:hint="eastAsia" w:asciiTheme="minorEastAsia" w:hAnsiTheme="minorEastAsia" w:eastAsiaTheme="minorEastAsia"/>
          <w:b/>
          <w:color w:val="000000" w:themeColor="text1"/>
          <w:lang w:eastAsia="zh-CN"/>
          <w14:textFill>
            <w14:solidFill>
              <w14:schemeClr w14:val="tx1"/>
            </w14:solidFill>
          </w14:textFill>
        </w:rPr>
        <w:t>分）</w:t>
      </w:r>
    </w:p>
    <w:tbl>
      <w:tblPr>
        <w:tblStyle w:val="37"/>
        <w:tblW w:w="10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656"/>
        <w:gridCol w:w="1312"/>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Pr>
          <w:p>
            <w:pPr>
              <w:adjustRightInd w:val="0"/>
              <w:snapToGrid w:val="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序号</w:t>
            </w:r>
          </w:p>
        </w:tc>
        <w:tc>
          <w:tcPr>
            <w:tcW w:w="1656" w:type="dxa"/>
            <w:vAlign w:val="center"/>
          </w:tcPr>
          <w:p>
            <w:pPr>
              <w:adjustRightInd w:val="0"/>
              <w:snapToGrid w:val="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评分项目</w:t>
            </w:r>
          </w:p>
        </w:tc>
        <w:tc>
          <w:tcPr>
            <w:tcW w:w="1312" w:type="dxa"/>
            <w:vAlign w:val="center"/>
          </w:tcPr>
          <w:p>
            <w:pPr>
              <w:adjustRightInd w:val="0"/>
              <w:snapToGrid w:val="0"/>
              <w:spacing w:before="120" w:after="12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标准分</w:t>
            </w:r>
          </w:p>
        </w:tc>
        <w:tc>
          <w:tcPr>
            <w:tcW w:w="6527" w:type="dxa"/>
            <w:vAlign w:val="center"/>
          </w:tcPr>
          <w:p>
            <w:pPr>
              <w:adjustRightInd w:val="0"/>
              <w:snapToGrid w:val="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pPr>
              <w:adjustRightInd w:val="0"/>
              <w:snapToGrid w:val="0"/>
              <w:spacing w:line="360" w:lineRule="exact"/>
              <w:jc w:val="center"/>
              <w:textAlignment w:val="baseline"/>
              <w:rPr>
                <w:rFonts w:hint="eastAsia" w:ascii="宋体" w:hAnsi="宋体" w:eastAsia="宋体" w:cs="宋体"/>
                <w:sz w:val="22"/>
                <w:szCs w:val="22"/>
                <w:lang w:val="en-US" w:eastAsia="en-US" w:bidi="en-US"/>
              </w:rPr>
            </w:pPr>
            <w:r>
              <w:rPr>
                <w:rFonts w:hint="eastAsia" w:ascii="宋体" w:hAnsi="宋体" w:cs="宋体"/>
              </w:rPr>
              <w:t>1</w:t>
            </w:r>
          </w:p>
        </w:tc>
        <w:tc>
          <w:tcPr>
            <w:tcW w:w="1656" w:type="dxa"/>
            <w:vMerge w:val="restart"/>
            <w:vAlign w:val="center"/>
          </w:tcPr>
          <w:p>
            <w:pPr>
              <w:rPr>
                <w:rFonts w:hint="eastAsia" w:ascii="宋体" w:hAnsi="宋体" w:eastAsia="宋体" w:cs="宋体"/>
                <w:sz w:val="22"/>
                <w:szCs w:val="22"/>
                <w:lang w:val="zh-CN" w:eastAsia="en-US" w:bidi="en-US"/>
              </w:rPr>
            </w:pPr>
            <w:r>
              <w:rPr>
                <w:rFonts w:hint="eastAsia" w:ascii="宋体" w:hAnsi="宋体" w:cs="宋体"/>
                <w:szCs w:val="21"/>
                <w:lang w:bidi="ar"/>
              </w:rPr>
              <w:t>投标人资质</w:t>
            </w:r>
          </w:p>
        </w:tc>
        <w:tc>
          <w:tcPr>
            <w:tcW w:w="1312" w:type="dxa"/>
            <w:vAlign w:val="center"/>
          </w:tcPr>
          <w:p>
            <w:pPr>
              <w:adjustRightInd w:val="0"/>
              <w:snapToGrid w:val="0"/>
              <w:spacing w:line="360" w:lineRule="exact"/>
              <w:jc w:val="center"/>
              <w:textAlignment w:val="baseline"/>
              <w:rPr>
                <w:rFonts w:hint="eastAsia" w:ascii="宋体" w:hAnsi="宋体" w:eastAsia="宋体" w:cs="宋体"/>
                <w:sz w:val="22"/>
                <w:szCs w:val="22"/>
                <w:lang w:val="en-US" w:eastAsia="en-US" w:bidi="en-US"/>
              </w:rPr>
            </w:pPr>
            <w:r>
              <w:rPr>
                <w:rFonts w:ascii="宋体" w:hAnsi="宋体" w:cs="宋体"/>
              </w:rPr>
              <w:t>3</w:t>
            </w:r>
          </w:p>
        </w:tc>
        <w:tc>
          <w:tcPr>
            <w:tcW w:w="6527" w:type="dxa"/>
            <w:vAlign w:val="center"/>
          </w:tcPr>
          <w:p>
            <w:pPr>
              <w:adjustRightInd w:val="0"/>
              <w:snapToGrid w:val="0"/>
              <w:spacing w:line="360" w:lineRule="exact"/>
              <w:textAlignment w:val="baseline"/>
              <w:rPr>
                <w:rFonts w:hint="eastAsia" w:ascii="宋体" w:hAnsi="宋体" w:eastAsia="宋体" w:cs="宋体"/>
                <w:sz w:val="22"/>
                <w:szCs w:val="22"/>
                <w:lang w:val="zh-CN" w:eastAsia="zh-CN" w:bidi="en-US"/>
              </w:rPr>
            </w:pPr>
            <w:r>
              <w:rPr>
                <w:rFonts w:hint="eastAsia" w:ascii="宋体" w:hAnsi="宋体" w:cs="宋体"/>
                <w:szCs w:val="21"/>
                <w:lang w:bidi="ar"/>
              </w:rPr>
              <w:t>投标人获得的</w:t>
            </w:r>
            <w:r>
              <w:rPr>
                <w:rFonts w:hint="eastAsia" w:ascii="宋体" w:hAnsi="宋体" w:cs="宋体"/>
                <w:szCs w:val="21"/>
                <w:lang w:eastAsia="zh-Hans" w:bidi="ar"/>
              </w:rPr>
              <w:t>中国</w:t>
            </w:r>
            <w:r>
              <w:rPr>
                <w:rFonts w:hint="eastAsia" w:ascii="宋体" w:hAnsi="宋体" w:cs="宋体"/>
                <w:szCs w:val="21"/>
                <w:lang w:bidi="ar"/>
              </w:rPr>
              <w:t>展览</w:t>
            </w:r>
            <w:r>
              <w:rPr>
                <w:rFonts w:hint="eastAsia" w:ascii="宋体" w:hAnsi="宋体" w:cs="宋体"/>
                <w:szCs w:val="21"/>
                <w:lang w:eastAsia="zh-Hans" w:bidi="ar"/>
              </w:rPr>
              <w:t>馆协会一级以上相关</w:t>
            </w:r>
            <w:r>
              <w:rPr>
                <w:rFonts w:hint="eastAsia" w:ascii="宋体" w:hAnsi="宋体" w:cs="宋体"/>
                <w:szCs w:val="21"/>
                <w:lang w:bidi="ar"/>
              </w:rPr>
              <w:t>资质证书的</w:t>
            </w:r>
            <w:r>
              <w:rPr>
                <w:rFonts w:hint="eastAsia" w:ascii="宋体" w:hAnsi="宋体" w:cs="宋体"/>
                <w:szCs w:val="21"/>
                <w:lang w:eastAsia="zh-Hans" w:bidi="ar"/>
              </w:rPr>
              <w:t>得</w:t>
            </w:r>
            <w:r>
              <w:rPr>
                <w:rFonts w:ascii="宋体" w:hAnsi="宋体" w:cs="宋体"/>
                <w:szCs w:val="21"/>
                <w:lang w:eastAsia="zh-Hans" w:bidi="ar"/>
              </w:rPr>
              <w:t>3</w:t>
            </w:r>
            <w:r>
              <w:rPr>
                <w:rFonts w:hint="eastAsia" w:ascii="宋体" w:hAnsi="宋体" w:cs="宋体"/>
                <w:szCs w:val="21"/>
                <w:lang w:eastAsia="zh-Hans" w:bidi="ar"/>
              </w:rPr>
              <w:t>分</w:t>
            </w:r>
            <w:r>
              <w:rPr>
                <w:rFonts w:hint="eastAsia" w:ascii="宋体" w:hAnsi="宋体" w:cs="宋体"/>
                <w:szCs w:val="21"/>
                <w:lang w:bidi="ar"/>
              </w:rPr>
              <w:t>，未提供不得分。（提供有效复印件加盖投标人公章</w:t>
            </w:r>
            <w:r>
              <w:rPr>
                <w:rFonts w:hint="eastAsia" w:ascii="宋体" w:hAnsi="宋体" w:cs="宋体"/>
                <w:szCs w:val="21"/>
                <w:lang w:eastAsia="zh-Hans" w:bidi="ar"/>
              </w:rPr>
              <w:t>，</w:t>
            </w:r>
            <w:r>
              <w:rPr>
                <w:rFonts w:hint="eastAsia" w:ascii="宋体" w:hAnsi="宋体" w:cs="宋体"/>
                <w:szCs w:val="21"/>
                <w:lang w:bidi="ar"/>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pPr>
              <w:adjustRightInd w:val="0"/>
              <w:snapToGrid w:val="0"/>
              <w:spacing w:line="360" w:lineRule="exact"/>
              <w:jc w:val="center"/>
              <w:textAlignment w:val="baseline"/>
              <w:rPr>
                <w:rFonts w:hint="eastAsia" w:ascii="宋体" w:hAnsi="宋体" w:eastAsia="宋体" w:cs="宋体"/>
                <w:sz w:val="22"/>
                <w:szCs w:val="22"/>
                <w:lang w:val="en-US" w:eastAsia="en-US" w:bidi="en-US"/>
              </w:rPr>
            </w:pPr>
            <w:r>
              <w:rPr>
                <w:rFonts w:ascii="宋体" w:hAnsi="宋体" w:cs="宋体"/>
              </w:rPr>
              <w:t>2</w:t>
            </w:r>
          </w:p>
        </w:tc>
        <w:tc>
          <w:tcPr>
            <w:tcW w:w="1656" w:type="dxa"/>
            <w:vMerge w:val="continue"/>
            <w:vAlign w:val="center"/>
          </w:tcPr>
          <w:p>
            <w:pPr>
              <w:adjustRightInd w:val="0"/>
              <w:snapToGrid w:val="0"/>
              <w:textAlignment w:val="baseline"/>
              <w:rPr>
                <w:rFonts w:asciiTheme="minorEastAsia" w:hAnsiTheme="minorEastAsia" w:eastAsiaTheme="minorEastAsia"/>
                <w:color w:val="000000" w:themeColor="text1"/>
                <w14:textFill>
                  <w14:solidFill>
                    <w14:schemeClr w14:val="tx1"/>
                  </w14:solidFill>
                </w14:textFill>
              </w:rPr>
            </w:pPr>
          </w:p>
        </w:tc>
        <w:tc>
          <w:tcPr>
            <w:tcW w:w="1312" w:type="dxa"/>
            <w:vAlign w:val="center"/>
          </w:tcPr>
          <w:p>
            <w:pPr>
              <w:adjustRightInd w:val="0"/>
              <w:snapToGrid w:val="0"/>
              <w:spacing w:line="360" w:lineRule="exact"/>
              <w:jc w:val="center"/>
              <w:textAlignment w:val="baseline"/>
              <w:rPr>
                <w:rFonts w:ascii="宋体" w:hAnsi="宋体" w:eastAsia="宋体" w:cs="宋体"/>
                <w:sz w:val="22"/>
                <w:szCs w:val="22"/>
                <w:lang w:val="en-US" w:eastAsia="en-US" w:bidi="en-US"/>
              </w:rPr>
            </w:pPr>
            <w:r>
              <w:rPr>
                <w:rFonts w:ascii="宋体" w:hAnsi="宋体" w:cs="宋体"/>
              </w:rPr>
              <w:t>3</w:t>
            </w:r>
          </w:p>
        </w:tc>
        <w:tc>
          <w:tcPr>
            <w:tcW w:w="6527" w:type="dxa"/>
            <w:vAlign w:val="center"/>
          </w:tcPr>
          <w:p>
            <w:pPr>
              <w:adjustRightInd w:val="0"/>
              <w:snapToGrid w:val="0"/>
              <w:spacing w:line="360" w:lineRule="exact"/>
              <w:textAlignment w:val="baseline"/>
              <w:rPr>
                <w:rFonts w:hint="eastAsia" w:ascii="宋体" w:hAnsi="宋体" w:eastAsia="宋体" w:cs="宋体"/>
                <w:sz w:val="22"/>
                <w:szCs w:val="21"/>
                <w:lang w:val="en-US" w:eastAsia="zh-CN" w:bidi="ar"/>
              </w:rPr>
            </w:pPr>
            <w:r>
              <w:rPr>
                <w:rFonts w:hint="eastAsia" w:ascii="宋体" w:hAnsi="宋体" w:cs="宋体"/>
                <w:szCs w:val="21"/>
                <w:lang w:bidi="ar"/>
              </w:rPr>
              <w:t>投标人获得</w:t>
            </w:r>
            <w:r>
              <w:rPr>
                <w:rFonts w:hint="eastAsia" w:ascii="宋体" w:hAnsi="宋体" w:cs="宋体"/>
                <w:szCs w:val="21"/>
                <w:lang w:val="en-US" w:eastAsia="zh-CN" w:bidi="ar"/>
              </w:rPr>
              <w:t>市级建筑</w:t>
            </w:r>
            <w:r>
              <w:rPr>
                <w:rFonts w:hint="eastAsia" w:ascii="宋体" w:hAnsi="宋体" w:cs="宋体"/>
                <w:szCs w:val="21"/>
                <w:lang w:eastAsia="zh-Hans" w:bidi="ar"/>
              </w:rPr>
              <w:t>装修装饰工程二级以上</w:t>
            </w:r>
            <w:r>
              <w:rPr>
                <w:rFonts w:hint="eastAsia" w:ascii="宋体" w:hAnsi="宋体" w:cs="宋体"/>
                <w:szCs w:val="21"/>
                <w:lang w:bidi="ar"/>
              </w:rPr>
              <w:t>证书的得3分，未提供不得分。（提供有效复印件加盖投标人公章</w:t>
            </w:r>
            <w:r>
              <w:rPr>
                <w:rFonts w:hint="eastAsia" w:ascii="宋体" w:hAnsi="宋体" w:cs="宋体"/>
                <w:szCs w:val="21"/>
                <w:lang w:eastAsia="zh-Hans" w:bidi="ar"/>
              </w:rPr>
              <w:t>，</w:t>
            </w:r>
            <w:r>
              <w:rPr>
                <w:rFonts w:hint="eastAsia" w:ascii="宋体" w:hAnsi="宋体" w:cs="宋体"/>
                <w:szCs w:val="21"/>
                <w:lang w:bidi="ar"/>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pPr>
              <w:adjustRightInd w:val="0"/>
              <w:snapToGrid w:val="0"/>
              <w:spacing w:line="360" w:lineRule="exact"/>
              <w:jc w:val="center"/>
              <w:textAlignment w:val="baseline"/>
              <w:rPr>
                <w:rFonts w:hint="eastAsia" w:ascii="宋体" w:hAnsi="宋体" w:eastAsia="宋体" w:cs="宋体"/>
                <w:sz w:val="22"/>
                <w:szCs w:val="22"/>
                <w:lang w:val="en-US" w:eastAsia="en-US" w:bidi="en-US"/>
              </w:rPr>
            </w:pPr>
            <w:r>
              <w:rPr>
                <w:rFonts w:ascii="宋体" w:hAnsi="宋体" w:cs="宋体"/>
              </w:rPr>
              <w:t>3</w:t>
            </w:r>
          </w:p>
        </w:tc>
        <w:tc>
          <w:tcPr>
            <w:tcW w:w="1656" w:type="dxa"/>
            <w:vMerge w:val="continue"/>
            <w:vAlign w:val="center"/>
          </w:tcPr>
          <w:p>
            <w:pPr>
              <w:adjustRightInd w:val="0"/>
              <w:snapToGrid w:val="0"/>
              <w:textAlignment w:val="baseline"/>
              <w:rPr>
                <w:rFonts w:asciiTheme="minorEastAsia" w:hAnsiTheme="minorEastAsia" w:eastAsiaTheme="minorEastAsia"/>
                <w:color w:val="000000" w:themeColor="text1"/>
                <w:lang w:eastAsia="zh-CN"/>
                <w14:textFill>
                  <w14:solidFill>
                    <w14:schemeClr w14:val="tx1"/>
                  </w14:solidFill>
                </w14:textFill>
              </w:rPr>
            </w:pPr>
          </w:p>
        </w:tc>
        <w:tc>
          <w:tcPr>
            <w:tcW w:w="1312" w:type="dxa"/>
            <w:vAlign w:val="center"/>
          </w:tcPr>
          <w:p>
            <w:pPr>
              <w:adjustRightInd w:val="0"/>
              <w:snapToGrid w:val="0"/>
              <w:spacing w:line="360" w:lineRule="exact"/>
              <w:jc w:val="center"/>
              <w:textAlignment w:val="baseline"/>
              <w:rPr>
                <w:rFonts w:ascii="宋体" w:hAnsi="宋体" w:eastAsia="宋体" w:cs="宋体"/>
                <w:sz w:val="22"/>
                <w:szCs w:val="22"/>
                <w:lang w:val="en-US" w:eastAsia="en-US" w:bidi="en-US"/>
              </w:rPr>
            </w:pPr>
            <w:r>
              <w:rPr>
                <w:rFonts w:ascii="宋体" w:hAnsi="宋体" w:cs="宋体"/>
              </w:rPr>
              <w:t>3</w:t>
            </w:r>
          </w:p>
        </w:tc>
        <w:tc>
          <w:tcPr>
            <w:tcW w:w="6527" w:type="dxa"/>
            <w:vAlign w:val="center"/>
          </w:tcPr>
          <w:p>
            <w:pPr>
              <w:adjustRightInd w:val="0"/>
              <w:snapToGrid w:val="0"/>
              <w:spacing w:line="360" w:lineRule="exact"/>
              <w:textAlignment w:val="baseline"/>
              <w:rPr>
                <w:rFonts w:hint="eastAsia" w:ascii="宋体" w:hAnsi="宋体" w:eastAsia="宋体" w:cs="宋体"/>
                <w:sz w:val="22"/>
                <w:szCs w:val="21"/>
                <w:lang w:val="en-US" w:eastAsia="zh-CN" w:bidi="ar"/>
              </w:rPr>
            </w:pPr>
            <w:r>
              <w:rPr>
                <w:rFonts w:hint="eastAsia" w:ascii="宋体" w:hAnsi="宋体" w:cs="宋体"/>
                <w:szCs w:val="21"/>
                <w:highlight w:val="none"/>
                <w:lang w:bidi="ar"/>
              </w:rPr>
              <w:t>投标人获得</w:t>
            </w:r>
            <w:r>
              <w:rPr>
                <w:rFonts w:hint="eastAsia" w:ascii="宋体" w:hAnsi="宋体" w:cs="宋体"/>
                <w:szCs w:val="21"/>
                <w:highlight w:val="none"/>
                <w:lang w:val="en-US" w:eastAsia="zh-CN" w:bidi="ar"/>
              </w:rPr>
              <w:t>企业信用评价3A级证书</w:t>
            </w:r>
            <w:r>
              <w:rPr>
                <w:rFonts w:hint="eastAsia" w:ascii="宋体" w:hAnsi="宋体" w:cs="宋体"/>
                <w:szCs w:val="21"/>
                <w:highlight w:val="none"/>
                <w:lang w:bidi="ar"/>
              </w:rPr>
              <w:t>的，</w:t>
            </w:r>
            <w:r>
              <w:rPr>
                <w:rFonts w:hint="eastAsia" w:ascii="宋体" w:hAnsi="宋体" w:cs="宋体"/>
                <w:szCs w:val="21"/>
                <w:highlight w:val="none"/>
                <w:lang w:val="en-US" w:eastAsia="zh-CN" w:bidi="ar"/>
              </w:rPr>
              <w:t>每提供1个得1分，该项最高得分为</w:t>
            </w:r>
            <w:r>
              <w:rPr>
                <w:rFonts w:hint="eastAsia" w:ascii="宋体" w:hAnsi="宋体" w:cs="宋体"/>
                <w:szCs w:val="21"/>
                <w:highlight w:val="none"/>
                <w:lang w:bidi="ar"/>
              </w:rPr>
              <w:t>3分，未提供不得分。（</w:t>
            </w:r>
            <w:r>
              <w:rPr>
                <w:rFonts w:hint="eastAsia" w:ascii="宋体" w:hAnsi="宋体" w:cs="宋体"/>
                <w:szCs w:val="21"/>
                <w:highlight w:val="none"/>
                <w:lang w:val="en-US" w:eastAsia="zh-CN" w:bidi="ar"/>
              </w:rPr>
              <w:t>证书可</w:t>
            </w:r>
            <w:r>
              <w:rPr>
                <w:rFonts w:hint="eastAsia" w:ascii="宋体" w:hAnsi="宋体" w:cs="宋体"/>
                <w:szCs w:val="21"/>
                <w:lang w:val="en-US" w:eastAsia="zh-CN" w:bidi="ar"/>
              </w:rPr>
              <w:t>在中国招标投标网查询，</w:t>
            </w:r>
            <w:r>
              <w:rPr>
                <w:rFonts w:hint="eastAsia" w:ascii="宋体" w:hAnsi="宋体" w:cs="宋体"/>
                <w:szCs w:val="21"/>
                <w:lang w:bidi="ar"/>
              </w:rPr>
              <w:t>提供有效复印件加盖投标人公章</w:t>
            </w:r>
            <w:r>
              <w:rPr>
                <w:rFonts w:hint="eastAsia" w:ascii="宋体" w:hAnsi="宋体" w:cs="宋体"/>
                <w:szCs w:val="21"/>
                <w:lang w:eastAsia="zh-Hans" w:bidi="ar"/>
              </w:rPr>
              <w:t>，</w:t>
            </w:r>
            <w:r>
              <w:rPr>
                <w:rFonts w:hint="eastAsia" w:ascii="宋体" w:hAnsi="宋体" w:cs="宋体"/>
                <w:szCs w:val="21"/>
                <w:lang w:bidi="ar"/>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pPr>
              <w:adjustRightInd w:val="0"/>
              <w:snapToGrid w:val="0"/>
              <w:spacing w:line="360" w:lineRule="exact"/>
              <w:jc w:val="center"/>
              <w:textAlignment w:val="baseline"/>
              <w:rPr>
                <w:rFonts w:hint="eastAsia" w:ascii="宋体" w:hAnsi="宋体" w:eastAsia="宋体" w:cs="宋体"/>
                <w:sz w:val="22"/>
                <w:szCs w:val="22"/>
                <w:lang w:val="en-US" w:eastAsia="en-US" w:bidi="en-US"/>
              </w:rPr>
            </w:pPr>
            <w:r>
              <w:rPr>
                <w:rFonts w:ascii="宋体" w:hAnsi="宋体" w:cs="宋体"/>
              </w:rPr>
              <w:t>4</w:t>
            </w:r>
          </w:p>
        </w:tc>
        <w:tc>
          <w:tcPr>
            <w:tcW w:w="1656" w:type="dxa"/>
            <w:vAlign w:val="center"/>
          </w:tcPr>
          <w:p>
            <w:pPr>
              <w:adjustRightInd w:val="0"/>
              <w:snapToGrid w:val="0"/>
              <w:textAlignment w:val="baseline"/>
              <w:rPr>
                <w:rFonts w:ascii="宋体" w:hAnsi="宋体"/>
              </w:rPr>
            </w:pPr>
            <w:r>
              <w:rPr>
                <w:rFonts w:hint="eastAsia" w:ascii="宋体" w:hAnsi="宋体"/>
              </w:rPr>
              <w:t>质量管理体系ISO 9001认证证书</w:t>
            </w:r>
          </w:p>
          <w:p>
            <w:pPr>
              <w:rPr>
                <w:rFonts w:hint="eastAsia" w:ascii="宋体" w:hAnsi="宋体" w:eastAsia="宋体" w:cs="宋体"/>
                <w:sz w:val="22"/>
                <w:szCs w:val="21"/>
                <w:lang w:val="en-US" w:eastAsia="zh-CN" w:bidi="ar"/>
              </w:rPr>
            </w:pPr>
            <w:r>
              <w:rPr>
                <w:rFonts w:hint="eastAsia" w:ascii="宋体" w:hAnsi="宋体"/>
              </w:rPr>
              <w:t>环境管理体系ISO14001认证证书</w:t>
            </w:r>
          </w:p>
        </w:tc>
        <w:tc>
          <w:tcPr>
            <w:tcW w:w="1312" w:type="dxa"/>
            <w:vAlign w:val="center"/>
          </w:tcPr>
          <w:p>
            <w:pPr>
              <w:adjustRightInd w:val="0"/>
              <w:snapToGrid w:val="0"/>
              <w:spacing w:line="360" w:lineRule="exact"/>
              <w:jc w:val="center"/>
              <w:textAlignment w:val="baseline"/>
              <w:rPr>
                <w:rFonts w:ascii="宋体" w:hAnsi="宋体" w:eastAsia="宋体" w:cs="宋体"/>
                <w:sz w:val="22"/>
                <w:szCs w:val="22"/>
                <w:lang w:val="en-US" w:eastAsia="zh-CN" w:bidi="en-US"/>
              </w:rPr>
            </w:pPr>
            <w:r>
              <w:rPr>
                <w:rFonts w:ascii="宋体" w:hAnsi="宋体" w:cs="宋体"/>
              </w:rPr>
              <w:t>3</w:t>
            </w:r>
          </w:p>
        </w:tc>
        <w:tc>
          <w:tcPr>
            <w:tcW w:w="6527" w:type="dxa"/>
            <w:vAlign w:val="center"/>
          </w:tcPr>
          <w:p>
            <w:pPr>
              <w:adjustRightInd w:val="0"/>
              <w:snapToGrid w:val="0"/>
              <w:textAlignment w:val="baseline"/>
              <w:rPr>
                <w:rFonts w:ascii="宋体" w:hAnsi="宋体"/>
              </w:rPr>
            </w:pPr>
            <w:r>
              <w:rPr>
                <w:rFonts w:hint="eastAsia" w:ascii="宋体" w:hAnsi="宋体"/>
              </w:rPr>
              <w:t>质量管理体系ISO 9001认证证书得1分，</w:t>
            </w:r>
          </w:p>
          <w:p>
            <w:pPr>
              <w:adjustRightInd w:val="0"/>
              <w:snapToGrid w:val="0"/>
              <w:textAlignment w:val="baseline"/>
              <w:rPr>
                <w:rFonts w:hint="eastAsia" w:ascii="宋体" w:hAnsi="宋体"/>
              </w:rPr>
            </w:pPr>
            <w:r>
              <w:rPr>
                <w:rFonts w:hint="eastAsia" w:ascii="宋体" w:hAnsi="宋体"/>
              </w:rPr>
              <w:t>环境管理体系ISO14001认证证书得1分</w:t>
            </w:r>
          </w:p>
          <w:p>
            <w:pPr>
              <w:adjustRightInd w:val="0"/>
              <w:snapToGrid w:val="0"/>
              <w:textAlignment w:val="baseline"/>
              <w:rPr>
                <w:rFonts w:hint="eastAsia" w:ascii="宋体" w:hAnsi="宋体"/>
              </w:rPr>
            </w:pPr>
            <w:r>
              <w:rPr>
                <w:rFonts w:hint="eastAsia" w:ascii="宋体" w:hAnsi="宋体"/>
              </w:rPr>
              <w:t>职业健康安全管理体系ISO18001认证证书得1分，</w:t>
            </w:r>
          </w:p>
          <w:p>
            <w:pPr>
              <w:adjustRightInd w:val="0"/>
              <w:snapToGrid w:val="0"/>
              <w:spacing w:line="360" w:lineRule="exact"/>
              <w:textAlignment w:val="baseline"/>
              <w:rPr>
                <w:rFonts w:hint="default" w:ascii="宋体" w:hAnsi="宋体" w:eastAsia="宋体" w:cs="宋体"/>
                <w:sz w:val="22"/>
                <w:szCs w:val="21"/>
                <w:lang w:val="en-US" w:eastAsia="zh-CN" w:bidi="ar"/>
              </w:rPr>
            </w:pPr>
            <w:r>
              <w:rPr>
                <w:rFonts w:hint="eastAsia" w:ascii="宋体" w:hAnsi="宋体" w:cs="宋体"/>
                <w:szCs w:val="21"/>
                <w:lang w:bidi="ar"/>
              </w:rPr>
              <w:t>（提供有效复印件加盖投标人公章</w:t>
            </w:r>
            <w:r>
              <w:rPr>
                <w:rFonts w:hint="eastAsia" w:ascii="宋体" w:hAnsi="宋体" w:cs="宋体"/>
                <w:szCs w:val="21"/>
                <w:lang w:eastAsia="zh-Hans" w:bidi="ar"/>
              </w:rPr>
              <w:t>，</w:t>
            </w:r>
            <w:r>
              <w:rPr>
                <w:rFonts w:hint="eastAsia" w:ascii="宋体" w:hAnsi="宋体" w:cs="宋体"/>
                <w:szCs w:val="21"/>
                <w:lang w:bidi="ar"/>
              </w:rPr>
              <w:t>原件备查）</w:t>
            </w:r>
            <w:r>
              <w:rPr>
                <w:rFonts w:hint="eastAsia" w:ascii="宋体" w:hAnsi="宋体" w:cs="宋体"/>
                <w:szCs w:val="21"/>
                <w:lang w:eastAsia="zh-CN" w:bidi="ar"/>
              </w:rPr>
              <w:t>，</w:t>
            </w:r>
            <w:r>
              <w:rPr>
                <w:rFonts w:hint="eastAsia" w:ascii="宋体" w:hAnsi="宋体" w:cs="宋体"/>
                <w:szCs w:val="21"/>
                <w:lang w:val="en-US" w:eastAsia="zh-CN" w:bidi="ar"/>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zh-CN" w:bidi="en-US"/>
              </w:rPr>
            </w:pPr>
            <w:r>
              <w:rPr>
                <w:rFonts w:ascii="宋体" w:hAnsi="宋体" w:cs="宋体"/>
              </w:rPr>
              <w:t>5</w:t>
            </w:r>
          </w:p>
        </w:tc>
        <w:tc>
          <w:tcPr>
            <w:tcW w:w="1656"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zh-CN" w:eastAsia="en-US" w:bidi="en-US"/>
              </w:rPr>
            </w:pPr>
            <w:r>
              <w:rPr>
                <w:rFonts w:hint="eastAsia" w:ascii="宋体" w:hAnsi="宋体" w:cs="宋体"/>
                <w:lang w:val="zh-CN"/>
              </w:rPr>
              <w:t>业绩证明</w:t>
            </w:r>
          </w:p>
        </w:tc>
        <w:tc>
          <w:tcPr>
            <w:tcW w:w="1312"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en-US" w:bidi="en-US"/>
              </w:rPr>
            </w:pPr>
            <w:r>
              <w:rPr>
                <w:rFonts w:hint="eastAsia" w:ascii="宋体" w:hAnsi="宋体" w:cs="宋体"/>
              </w:rPr>
              <w:t>3</w:t>
            </w:r>
          </w:p>
        </w:tc>
        <w:tc>
          <w:tcPr>
            <w:tcW w:w="6527" w:type="dxa"/>
            <w:tcBorders>
              <w:bottom w:val="single" w:color="auto" w:sz="4" w:space="0"/>
            </w:tcBorders>
            <w:vAlign w:val="center"/>
          </w:tcPr>
          <w:p>
            <w:pPr>
              <w:adjustRightInd w:val="0"/>
              <w:snapToGrid w:val="0"/>
              <w:spacing w:line="360" w:lineRule="exact"/>
              <w:textAlignment w:val="baseline"/>
              <w:rPr>
                <w:rFonts w:hint="eastAsia" w:ascii="宋体" w:hAnsi="宋体" w:eastAsia="宋体" w:cs="宋体"/>
                <w:sz w:val="22"/>
                <w:szCs w:val="22"/>
                <w:lang w:val="zh-CN" w:eastAsia="en-US" w:bidi="en-US"/>
              </w:rPr>
            </w:pPr>
            <w:r>
              <w:rPr>
                <w:rFonts w:hint="eastAsia" w:ascii="宋体" w:hAnsi="宋体" w:cs="宋体"/>
              </w:rPr>
              <w:t>近三年内，承接展览面积5万平米及以上</w:t>
            </w:r>
            <w:r>
              <w:rPr>
                <w:rFonts w:hint="eastAsia" w:ascii="宋体" w:hAnsi="宋体" w:cs="宋体"/>
                <w:lang w:val="en-US" w:eastAsia="zh-CN"/>
              </w:rPr>
              <w:t>展会</w:t>
            </w:r>
            <w:r>
              <w:rPr>
                <w:rFonts w:hint="eastAsia" w:ascii="宋体" w:hAnsi="宋体" w:cs="宋体"/>
              </w:rPr>
              <w:t>服务案例</w:t>
            </w:r>
            <w:r>
              <w:rPr>
                <w:rFonts w:hint="eastAsia" w:ascii="宋体" w:hAnsi="宋体" w:cs="宋体"/>
                <w:lang w:val="en-US" w:eastAsia="zh-CN"/>
              </w:rPr>
              <w:t>2</w:t>
            </w:r>
            <w:r>
              <w:rPr>
                <w:rFonts w:hint="eastAsia" w:ascii="宋体" w:hAnsi="宋体" w:cs="宋体"/>
              </w:rPr>
              <w:t>个得</w:t>
            </w:r>
            <w:r>
              <w:rPr>
                <w:rFonts w:ascii="宋体" w:hAnsi="宋体" w:cs="宋体"/>
              </w:rPr>
              <w:t>1</w:t>
            </w:r>
            <w:r>
              <w:rPr>
                <w:rFonts w:hint="eastAsia" w:ascii="宋体" w:hAnsi="宋体" w:cs="宋体"/>
              </w:rPr>
              <w:t>分；</w:t>
            </w:r>
            <w:r>
              <w:rPr>
                <w:rFonts w:hint="eastAsia" w:ascii="宋体" w:hAnsi="宋体" w:cs="宋体"/>
                <w:lang w:val="en-US" w:eastAsia="zh-CN"/>
              </w:rPr>
              <w:t>3</w:t>
            </w:r>
            <w:r>
              <w:rPr>
                <w:rFonts w:hint="eastAsia" w:ascii="宋体" w:hAnsi="宋体" w:cs="宋体"/>
              </w:rPr>
              <w:t>个得</w:t>
            </w:r>
            <w:r>
              <w:rPr>
                <w:rFonts w:ascii="宋体" w:hAnsi="宋体" w:cs="宋体"/>
              </w:rPr>
              <w:t>2</w:t>
            </w:r>
            <w:r>
              <w:rPr>
                <w:rFonts w:hint="eastAsia" w:ascii="宋体" w:hAnsi="宋体" w:cs="宋体"/>
              </w:rPr>
              <w:t>分；</w:t>
            </w:r>
            <w:r>
              <w:rPr>
                <w:rFonts w:hint="eastAsia" w:ascii="宋体" w:hAnsi="宋体" w:cs="宋体"/>
                <w:lang w:val="en-US" w:eastAsia="zh-CN"/>
              </w:rPr>
              <w:t>3</w:t>
            </w:r>
            <w:r>
              <w:rPr>
                <w:rFonts w:hint="eastAsia" w:ascii="宋体" w:hAnsi="宋体" w:cs="宋体"/>
              </w:rPr>
              <w:t>个</w:t>
            </w:r>
            <w:r>
              <w:rPr>
                <w:rFonts w:hint="eastAsia" w:ascii="宋体" w:hAnsi="宋体" w:cs="宋体"/>
                <w:lang w:val="en-US" w:eastAsia="zh-CN"/>
              </w:rPr>
              <w:t>以上</w:t>
            </w:r>
            <w:r>
              <w:rPr>
                <w:rFonts w:hint="eastAsia" w:ascii="宋体" w:hAnsi="宋体" w:cs="宋体"/>
              </w:rPr>
              <w:t>得</w:t>
            </w:r>
            <w:r>
              <w:rPr>
                <w:rFonts w:ascii="宋体" w:hAnsi="宋体" w:cs="宋体"/>
              </w:rPr>
              <w:t>3</w:t>
            </w:r>
            <w:r>
              <w:rPr>
                <w:rFonts w:hint="eastAsia" w:ascii="宋体" w:hAnsi="宋体" w:cs="宋体"/>
              </w:rPr>
              <w:t>分。</w:t>
            </w:r>
            <w:r>
              <w:rPr>
                <w:rFonts w:hint="eastAsia" w:ascii="宋体" w:hAnsi="宋体" w:cs="宋体"/>
                <w:lang w:val="en-US" w:eastAsia="zh-CN"/>
              </w:rPr>
              <w:t>未提供不得分。</w:t>
            </w:r>
            <w:r>
              <w:rPr>
                <w:rFonts w:hint="eastAsia" w:ascii="宋体" w:hAnsi="宋体" w:cs="宋体"/>
              </w:rPr>
              <w:t>（服务案例需要附合同复印件加盖公章）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zh-CN" w:bidi="en-US"/>
              </w:rPr>
            </w:pPr>
            <w:r>
              <w:rPr>
                <w:rFonts w:ascii="宋体" w:hAnsi="宋体" w:cs="宋体"/>
              </w:rPr>
              <w:t>6</w:t>
            </w:r>
          </w:p>
        </w:tc>
        <w:tc>
          <w:tcPr>
            <w:tcW w:w="1656" w:type="dxa"/>
            <w:tcBorders>
              <w:bottom w:val="single" w:color="auto" w:sz="4" w:space="0"/>
            </w:tcBorders>
            <w:vAlign w:val="center"/>
          </w:tcPr>
          <w:p>
            <w:pPr>
              <w:jc w:val="center"/>
              <w:rPr>
                <w:rFonts w:hint="eastAsia" w:ascii="宋体" w:hAnsi="宋体" w:eastAsia="Times New Roman" w:cs="宋体"/>
                <w:sz w:val="22"/>
                <w:szCs w:val="22"/>
                <w:lang w:val="zh-CN" w:eastAsia="zh-Hans" w:bidi="en-US"/>
              </w:rPr>
            </w:pPr>
            <w:r>
              <w:rPr>
                <w:rFonts w:hint="eastAsia" w:ascii="宋体" w:hAnsi="宋体" w:cs="宋体"/>
                <w:szCs w:val="21"/>
                <w:lang w:eastAsia="zh-Hans"/>
              </w:rPr>
              <w:t>展会策划</w:t>
            </w:r>
          </w:p>
        </w:tc>
        <w:tc>
          <w:tcPr>
            <w:tcW w:w="1312" w:type="dxa"/>
            <w:tcBorders>
              <w:bottom w:val="single" w:color="auto" w:sz="4" w:space="0"/>
            </w:tcBorders>
            <w:vAlign w:val="center"/>
          </w:tcPr>
          <w:p>
            <w:pPr>
              <w:jc w:val="center"/>
              <w:rPr>
                <w:rFonts w:hint="eastAsia" w:ascii="宋体" w:hAnsi="宋体" w:eastAsia="宋体" w:cs="宋体"/>
                <w:sz w:val="22"/>
                <w:szCs w:val="22"/>
                <w:lang w:val="zh-CN" w:eastAsia="zh-CN" w:bidi="en-US"/>
              </w:rPr>
            </w:pPr>
            <w:r>
              <w:rPr>
                <w:rFonts w:hint="eastAsia" w:ascii="宋体" w:hAnsi="宋体" w:cs="宋体"/>
                <w:szCs w:val="21"/>
                <w:lang w:val="en-US" w:eastAsia="zh-CN"/>
              </w:rPr>
              <w:t>2</w:t>
            </w:r>
          </w:p>
        </w:tc>
        <w:tc>
          <w:tcPr>
            <w:tcW w:w="6527" w:type="dxa"/>
            <w:tcBorders>
              <w:bottom w:val="single" w:color="auto" w:sz="4" w:space="0"/>
            </w:tcBorders>
            <w:vAlign w:val="center"/>
          </w:tcPr>
          <w:p>
            <w:pPr>
              <w:adjustRightInd w:val="0"/>
              <w:snapToGrid w:val="0"/>
              <w:spacing w:line="360" w:lineRule="exact"/>
              <w:textAlignment w:val="baseline"/>
              <w:rPr>
                <w:rFonts w:hint="eastAsia" w:ascii="宋体" w:hAnsi="宋体" w:eastAsia="宋体" w:cs="宋体"/>
                <w:sz w:val="22"/>
                <w:szCs w:val="22"/>
                <w:lang w:val="zh-CN" w:eastAsia="en-US" w:bidi="en-US"/>
              </w:rPr>
            </w:pPr>
            <w:r>
              <w:rPr>
                <w:rFonts w:hint="eastAsia" w:ascii="宋体" w:hAnsi="宋体" w:cs="宋体"/>
                <w:szCs w:val="21"/>
                <w:lang w:bidi="ar"/>
              </w:rPr>
              <w:t>项目执行团队中现场经理或负责人具有会展策划师的</w:t>
            </w:r>
            <w:r>
              <w:rPr>
                <w:rFonts w:hint="eastAsia" w:ascii="宋体" w:hAnsi="宋体" w:cs="宋体"/>
                <w:szCs w:val="21"/>
                <w:lang w:eastAsia="zh-Hans" w:bidi="ar"/>
              </w:rPr>
              <w:t>，提供一个得</w:t>
            </w:r>
            <w:r>
              <w:rPr>
                <w:rFonts w:ascii="宋体" w:hAnsi="宋体" w:cs="宋体"/>
                <w:szCs w:val="21"/>
                <w:lang w:eastAsia="zh-Hans" w:bidi="ar"/>
              </w:rPr>
              <w:t>1</w:t>
            </w:r>
            <w:r>
              <w:rPr>
                <w:rFonts w:hint="eastAsia" w:ascii="宋体" w:hAnsi="宋体" w:cs="宋体"/>
                <w:szCs w:val="21"/>
                <w:lang w:eastAsia="zh-Hans" w:bidi="ar"/>
              </w:rPr>
              <w:t>分，</w:t>
            </w:r>
            <w:r>
              <w:rPr>
                <w:rFonts w:hint="eastAsia" w:ascii="宋体" w:hAnsi="宋体" w:cs="宋体"/>
                <w:szCs w:val="21"/>
                <w:lang w:val="en-US" w:eastAsia="zh-CN" w:bidi="ar"/>
              </w:rPr>
              <w:t>该项最高得分为2分</w:t>
            </w:r>
            <w:r>
              <w:rPr>
                <w:rFonts w:hint="eastAsia" w:ascii="宋体" w:hAnsi="宋体" w:cs="宋体"/>
                <w:szCs w:val="21"/>
                <w:lang w:bidi="ar"/>
              </w:rPr>
              <w:t>，投标人需在投标文件中提供相应的证明材料并加盖公章，未提供不得分。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zh-CN" w:bidi="en-US"/>
              </w:rPr>
            </w:pPr>
            <w:r>
              <w:rPr>
                <w:rFonts w:ascii="宋体" w:hAnsi="宋体" w:cs="宋体"/>
              </w:rPr>
              <w:t>7</w:t>
            </w:r>
          </w:p>
        </w:tc>
        <w:tc>
          <w:tcPr>
            <w:tcW w:w="1656" w:type="dxa"/>
            <w:tcBorders>
              <w:bottom w:val="single" w:color="auto" w:sz="4" w:space="0"/>
            </w:tcBorders>
            <w:vAlign w:val="center"/>
          </w:tcPr>
          <w:p>
            <w:pPr>
              <w:jc w:val="center"/>
              <w:rPr>
                <w:rFonts w:hint="eastAsia" w:ascii="宋体" w:hAnsi="宋体" w:eastAsia="宋体" w:cs="宋体"/>
                <w:sz w:val="22"/>
                <w:szCs w:val="22"/>
                <w:lang w:val="zh-CN" w:eastAsia="en-US" w:bidi="en-US"/>
              </w:rPr>
            </w:pPr>
            <w:r>
              <w:rPr>
                <w:rFonts w:hint="eastAsia" w:ascii="宋体" w:hAnsi="宋体" w:cs="宋体"/>
                <w:szCs w:val="21"/>
                <w:lang w:eastAsia="zh-Hans"/>
              </w:rPr>
              <w:t>安全</w:t>
            </w:r>
            <w:r>
              <w:rPr>
                <w:rFonts w:hint="eastAsia" w:ascii="宋体" w:hAnsi="宋体" w:cs="宋体"/>
                <w:szCs w:val="21"/>
              </w:rPr>
              <w:t>保障</w:t>
            </w:r>
          </w:p>
        </w:tc>
        <w:tc>
          <w:tcPr>
            <w:tcW w:w="1312"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zh-CN" w:eastAsia="zh-CN" w:bidi="en-US"/>
              </w:rPr>
            </w:pPr>
            <w:r>
              <w:rPr>
                <w:rFonts w:hint="eastAsia" w:ascii="宋体" w:hAnsi="宋体" w:cs="宋体"/>
                <w:lang w:val="en-US" w:eastAsia="zh-CN"/>
              </w:rPr>
              <w:t>2</w:t>
            </w:r>
          </w:p>
        </w:tc>
        <w:tc>
          <w:tcPr>
            <w:tcW w:w="6527" w:type="dxa"/>
            <w:tcBorders>
              <w:bottom w:val="single" w:color="auto" w:sz="4" w:space="0"/>
            </w:tcBorders>
            <w:vAlign w:val="center"/>
          </w:tcPr>
          <w:p>
            <w:pPr>
              <w:adjustRightInd w:val="0"/>
              <w:snapToGrid w:val="0"/>
              <w:spacing w:line="360" w:lineRule="exact"/>
              <w:textAlignment w:val="baseline"/>
              <w:rPr>
                <w:rFonts w:hint="eastAsia" w:ascii="宋体" w:hAnsi="宋体" w:eastAsia="宋体" w:cs="宋体"/>
                <w:sz w:val="22"/>
                <w:szCs w:val="22"/>
                <w:lang w:val="zh-CN" w:eastAsia="en-US" w:bidi="en-US"/>
              </w:rPr>
            </w:pPr>
            <w:r>
              <w:rPr>
                <w:rFonts w:hint="eastAsia" w:ascii="宋体" w:hAnsi="宋体" w:cs="宋体"/>
                <w:szCs w:val="21"/>
                <w:lang w:bidi="ar"/>
              </w:rPr>
              <w:t>项目执行团队中现场经理或负责人具有</w:t>
            </w:r>
            <w:r>
              <w:rPr>
                <w:rFonts w:hint="eastAsia" w:ascii="宋体" w:hAnsi="宋体" w:cs="宋体"/>
                <w:szCs w:val="21"/>
                <w:lang w:eastAsia="zh-Hans" w:bidi="ar"/>
              </w:rPr>
              <w:t>安全管理员</w:t>
            </w:r>
            <w:r>
              <w:rPr>
                <w:rFonts w:hint="eastAsia" w:ascii="宋体" w:hAnsi="宋体" w:cs="宋体"/>
                <w:szCs w:val="21"/>
                <w:lang w:bidi="ar"/>
              </w:rPr>
              <w:t>的</w:t>
            </w:r>
            <w:r>
              <w:rPr>
                <w:rFonts w:hint="eastAsia" w:ascii="宋体" w:hAnsi="宋体" w:cs="宋体"/>
                <w:szCs w:val="21"/>
                <w:lang w:eastAsia="zh-Hans" w:bidi="ar"/>
              </w:rPr>
              <w:t>，提供一个得</w:t>
            </w:r>
            <w:r>
              <w:rPr>
                <w:rFonts w:ascii="宋体" w:hAnsi="宋体" w:cs="宋体"/>
                <w:szCs w:val="21"/>
                <w:lang w:eastAsia="zh-Hans" w:bidi="ar"/>
              </w:rPr>
              <w:t>1</w:t>
            </w:r>
            <w:r>
              <w:rPr>
                <w:rFonts w:hint="eastAsia" w:ascii="宋体" w:hAnsi="宋体" w:cs="宋体"/>
                <w:szCs w:val="21"/>
                <w:lang w:eastAsia="zh-Hans" w:bidi="ar"/>
              </w:rPr>
              <w:t>分，</w:t>
            </w:r>
            <w:r>
              <w:rPr>
                <w:rFonts w:hint="eastAsia" w:ascii="宋体" w:hAnsi="宋体" w:cs="宋体"/>
                <w:szCs w:val="21"/>
                <w:lang w:val="en-US" w:eastAsia="zh-CN" w:bidi="ar"/>
              </w:rPr>
              <w:t>该项最高得分为2分</w:t>
            </w:r>
            <w:r>
              <w:rPr>
                <w:rFonts w:hint="eastAsia" w:ascii="宋体" w:hAnsi="宋体" w:cs="宋体"/>
                <w:szCs w:val="21"/>
                <w:lang w:bidi="ar"/>
              </w:rPr>
              <w:t>，投标人需在投标文件中提供相应的证明材料并加盖公章，未提供不得分。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zh-CN" w:bidi="en-US"/>
              </w:rPr>
            </w:pPr>
            <w:r>
              <w:rPr>
                <w:rFonts w:ascii="宋体" w:hAnsi="宋体" w:cs="宋体"/>
              </w:rPr>
              <w:t>8</w:t>
            </w:r>
          </w:p>
        </w:tc>
        <w:tc>
          <w:tcPr>
            <w:tcW w:w="1656" w:type="dxa"/>
            <w:tcBorders>
              <w:bottom w:val="single" w:color="auto" w:sz="4" w:space="0"/>
            </w:tcBorders>
            <w:vAlign w:val="center"/>
          </w:tcPr>
          <w:p>
            <w:pPr>
              <w:jc w:val="center"/>
              <w:rPr>
                <w:rFonts w:hint="eastAsia" w:ascii="宋体" w:hAnsi="宋体" w:eastAsia="Times New Roman" w:cs="宋体"/>
                <w:sz w:val="22"/>
                <w:szCs w:val="22"/>
                <w:lang w:val="zh-CN" w:eastAsia="zh-Hans" w:bidi="en-US"/>
              </w:rPr>
            </w:pPr>
            <w:r>
              <w:rPr>
                <w:rFonts w:hint="eastAsia" w:ascii="宋体" w:hAnsi="宋体" w:cs="宋体"/>
                <w:szCs w:val="21"/>
                <w:lang w:eastAsia="zh-Hans" w:bidi="ar"/>
              </w:rPr>
              <w:t>搭建资质</w:t>
            </w:r>
          </w:p>
        </w:tc>
        <w:tc>
          <w:tcPr>
            <w:tcW w:w="1312"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en-US" w:bidi="en-US"/>
              </w:rPr>
            </w:pPr>
            <w:r>
              <w:rPr>
                <w:rFonts w:hint="eastAsia" w:ascii="宋体" w:hAnsi="宋体" w:cs="宋体"/>
              </w:rPr>
              <w:t>3</w:t>
            </w:r>
          </w:p>
        </w:tc>
        <w:tc>
          <w:tcPr>
            <w:tcW w:w="6527" w:type="dxa"/>
            <w:tcBorders>
              <w:bottom w:val="single" w:color="auto" w:sz="4" w:space="0"/>
            </w:tcBorders>
            <w:vAlign w:val="center"/>
          </w:tcPr>
          <w:p>
            <w:pPr>
              <w:pStyle w:val="2"/>
              <w:jc w:val="left"/>
              <w:rPr>
                <w:rFonts w:hint="eastAsia" w:ascii="Calibri" w:hAnsi="宋体" w:eastAsia="宋体" w:cs="宋体"/>
                <w:kern w:val="2"/>
                <w:sz w:val="24"/>
                <w:szCs w:val="21"/>
                <w:lang w:val="en-US" w:eastAsia="zh-CN" w:bidi="ar"/>
              </w:rPr>
            </w:pPr>
            <w:r>
              <w:rPr>
                <w:rFonts w:hint="eastAsia" w:hAnsi="宋体" w:cs="宋体"/>
                <w:kern w:val="2"/>
                <w:sz w:val="21"/>
                <w:szCs w:val="21"/>
                <w:lang w:eastAsia="zh-Hans" w:bidi="ar"/>
              </w:rPr>
              <w:t>根据投标人会展设计、搭建工程企业资质进行评分，AAA企业得3分，AA企业得2分，A企业得1分，需提供有效的证书，未提供不得分。</w:t>
            </w:r>
            <w:r>
              <w:rPr>
                <w:rFonts w:hint="eastAsia" w:hAnsi="宋体" w:cs="宋体"/>
                <w:color w:val="E36C09"/>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zh-CN" w:bidi="en-US"/>
              </w:rPr>
            </w:pPr>
            <w:r>
              <w:rPr>
                <w:rFonts w:ascii="宋体" w:hAnsi="宋体" w:cs="宋体"/>
              </w:rPr>
              <w:t>9</w:t>
            </w:r>
          </w:p>
        </w:tc>
        <w:tc>
          <w:tcPr>
            <w:tcW w:w="1656" w:type="dxa"/>
            <w:tcBorders>
              <w:bottom w:val="single" w:color="auto" w:sz="4" w:space="0"/>
            </w:tcBorders>
            <w:vAlign w:val="center"/>
          </w:tcPr>
          <w:p>
            <w:pPr>
              <w:jc w:val="center"/>
              <w:rPr>
                <w:rFonts w:hint="eastAsia" w:ascii="宋体" w:hAnsi="宋体" w:eastAsia="宋体" w:cs="宋体"/>
                <w:sz w:val="22"/>
                <w:szCs w:val="21"/>
                <w:lang w:val="en-US" w:eastAsia="zh-CN" w:bidi="ar"/>
              </w:rPr>
            </w:pPr>
            <w:r>
              <w:rPr>
                <w:rFonts w:hint="eastAsia" w:ascii="宋体" w:hAnsi="宋体" w:eastAsia="宋体" w:cs="宋体"/>
                <w:sz w:val="22"/>
                <w:szCs w:val="21"/>
                <w:lang w:val="en-US" w:eastAsia="zh-CN" w:bidi="ar"/>
              </w:rPr>
              <w:t>守信激励评价</w:t>
            </w:r>
          </w:p>
        </w:tc>
        <w:tc>
          <w:tcPr>
            <w:tcW w:w="1312"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en-US" w:bidi="en-US"/>
              </w:rPr>
            </w:pPr>
            <w:r>
              <w:rPr>
                <w:rFonts w:hint="eastAsia" w:ascii="宋体" w:hAnsi="宋体" w:cs="宋体"/>
              </w:rPr>
              <w:t>3</w:t>
            </w:r>
          </w:p>
        </w:tc>
        <w:tc>
          <w:tcPr>
            <w:tcW w:w="6527" w:type="dxa"/>
            <w:tcBorders>
              <w:bottom w:val="single" w:color="auto" w:sz="4" w:space="0"/>
            </w:tcBorders>
            <w:vAlign w:val="center"/>
          </w:tcPr>
          <w:p>
            <w:pPr>
              <w:adjustRightInd w:val="0"/>
              <w:snapToGrid w:val="0"/>
              <w:spacing w:line="360" w:lineRule="exact"/>
              <w:textAlignment w:val="baseline"/>
              <w:rPr>
                <w:rFonts w:hint="eastAsia" w:ascii="宋体" w:hAnsi="宋体" w:eastAsia="宋体" w:cs="宋体"/>
                <w:sz w:val="22"/>
                <w:szCs w:val="21"/>
                <w:lang w:val="en-US" w:eastAsia="en-US" w:bidi="ar"/>
              </w:rPr>
            </w:pPr>
            <w:r>
              <w:rPr>
                <w:rFonts w:hint="eastAsia" w:ascii="宋体" w:hAnsi="宋体" w:cs="宋体"/>
                <w:szCs w:val="21"/>
                <w:lang w:bidi="ar"/>
              </w:rPr>
              <w:t>根据投标人提供的2018-2020年度信用中国（www.creditchina.gov.cn)给予的“纳税信用A级纳税人”评价，每提供1个得1分，该项最高得分为3分。</w:t>
            </w:r>
            <w:bookmarkStart w:id="282" w:name="_GoBack"/>
            <w:bookmarkEnd w:id="2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zh-CN" w:bidi="en-US"/>
              </w:rPr>
            </w:pPr>
            <w:r>
              <w:rPr>
                <w:rFonts w:ascii="宋体" w:hAnsi="宋体" w:cs="宋体"/>
              </w:rPr>
              <w:t>10</w:t>
            </w:r>
          </w:p>
        </w:tc>
        <w:tc>
          <w:tcPr>
            <w:tcW w:w="1656" w:type="dxa"/>
            <w:tcBorders>
              <w:bottom w:val="single" w:color="auto" w:sz="4" w:space="0"/>
            </w:tcBorders>
            <w:vAlign w:val="center"/>
          </w:tcPr>
          <w:p>
            <w:pPr>
              <w:jc w:val="center"/>
              <w:rPr>
                <w:rFonts w:hint="eastAsia" w:ascii="宋体" w:hAnsi="宋体" w:eastAsia="宋体" w:cs="宋体"/>
                <w:sz w:val="22"/>
                <w:szCs w:val="21"/>
                <w:lang w:val="en-US" w:eastAsia="en-US" w:bidi="ar"/>
              </w:rPr>
            </w:pPr>
            <w:r>
              <w:rPr>
                <w:rFonts w:hint="eastAsia" w:ascii="宋体" w:hAnsi="宋体" w:cs="宋体"/>
                <w:szCs w:val="21"/>
              </w:rPr>
              <w:t>组织协调能力证明</w:t>
            </w:r>
          </w:p>
        </w:tc>
        <w:tc>
          <w:tcPr>
            <w:tcW w:w="1312"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en-US" w:bidi="en-US"/>
              </w:rPr>
            </w:pPr>
            <w:r>
              <w:rPr>
                <w:rFonts w:hint="eastAsia" w:ascii="宋体" w:hAnsi="宋体" w:cs="宋体"/>
              </w:rPr>
              <w:t>3</w:t>
            </w:r>
          </w:p>
        </w:tc>
        <w:tc>
          <w:tcPr>
            <w:tcW w:w="6527" w:type="dxa"/>
            <w:tcBorders>
              <w:bottom w:val="single" w:color="auto" w:sz="4" w:space="0"/>
            </w:tcBorders>
            <w:vAlign w:val="center"/>
          </w:tcPr>
          <w:p>
            <w:pPr>
              <w:adjustRightInd w:val="0"/>
              <w:snapToGrid w:val="0"/>
              <w:spacing w:line="360" w:lineRule="exact"/>
              <w:textAlignment w:val="baseline"/>
              <w:rPr>
                <w:rFonts w:hint="eastAsia" w:ascii="宋体" w:hAnsi="宋体" w:eastAsia="宋体" w:cs="宋体"/>
                <w:sz w:val="22"/>
                <w:szCs w:val="21"/>
                <w:highlight w:val="yellow"/>
                <w:lang w:val="en-US" w:eastAsia="en-US" w:bidi="ar"/>
              </w:rPr>
            </w:pPr>
            <w:r>
              <w:rPr>
                <w:rFonts w:hint="eastAsia" w:ascii="宋体" w:hAnsi="宋体" w:cs="宋体"/>
                <w:szCs w:val="21"/>
                <w:highlight w:val="none"/>
              </w:rPr>
              <w:t>投标人近三年所承办的政府采购类展会项目，获得过主体活动单位或相关部门颁发的“</w:t>
            </w:r>
            <w:r>
              <w:rPr>
                <w:rFonts w:hint="eastAsia" w:ascii="宋体" w:hAnsi="宋体" w:cs="宋体"/>
                <w:szCs w:val="21"/>
                <w:highlight w:val="none"/>
                <w:lang w:val="en-US" w:eastAsia="zh-CN"/>
              </w:rPr>
              <w:t>感谢信</w:t>
            </w:r>
            <w:r>
              <w:rPr>
                <w:rFonts w:hint="eastAsia" w:ascii="宋体" w:hAnsi="宋体" w:cs="宋体"/>
                <w:szCs w:val="21"/>
                <w:highlight w:val="none"/>
              </w:rPr>
              <w:t>”或“</w:t>
            </w:r>
            <w:r>
              <w:rPr>
                <w:rFonts w:hint="eastAsia" w:ascii="宋体" w:hAnsi="宋体" w:cs="宋体"/>
                <w:szCs w:val="21"/>
                <w:highlight w:val="none"/>
                <w:lang w:val="en-US" w:eastAsia="zh-CN"/>
              </w:rPr>
              <w:t>荣誉证书</w:t>
            </w:r>
            <w:r>
              <w:rPr>
                <w:rFonts w:hint="eastAsia" w:ascii="宋体" w:hAnsi="宋体" w:cs="宋体"/>
                <w:szCs w:val="21"/>
                <w:highlight w:val="none"/>
              </w:rPr>
              <w:t>”的，每提供一个得1分，（需提供相应资料备查），本项最高得分3分。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zh-CN" w:bidi="en-US"/>
              </w:rPr>
            </w:pPr>
            <w:r>
              <w:rPr>
                <w:rFonts w:ascii="宋体" w:hAnsi="宋体" w:cs="宋体"/>
              </w:rPr>
              <w:t>11</w:t>
            </w:r>
          </w:p>
        </w:tc>
        <w:tc>
          <w:tcPr>
            <w:tcW w:w="1656" w:type="dxa"/>
            <w:tcBorders>
              <w:bottom w:val="single" w:color="auto" w:sz="4" w:space="0"/>
            </w:tcBorders>
            <w:vAlign w:val="center"/>
          </w:tcPr>
          <w:p>
            <w:pPr>
              <w:jc w:val="center"/>
              <w:rPr>
                <w:rFonts w:hint="eastAsia" w:ascii="宋体" w:hAnsi="宋体" w:eastAsia="Times New Roman" w:cs="宋体"/>
                <w:sz w:val="22"/>
                <w:szCs w:val="21"/>
                <w:lang w:val="en-US" w:eastAsia="zh-Hans" w:bidi="en-US"/>
              </w:rPr>
            </w:pPr>
            <w:r>
              <w:rPr>
                <w:rFonts w:hint="eastAsia" w:ascii="宋体" w:hAnsi="宋体" w:cs="宋体"/>
                <w:szCs w:val="21"/>
                <w:lang w:eastAsia="zh-Hans"/>
              </w:rPr>
              <w:t>获奖情况</w:t>
            </w:r>
          </w:p>
        </w:tc>
        <w:tc>
          <w:tcPr>
            <w:tcW w:w="1312"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en-US" w:bidi="en-US"/>
              </w:rPr>
            </w:pPr>
            <w:r>
              <w:rPr>
                <w:rFonts w:hint="eastAsia" w:ascii="宋体" w:hAnsi="宋体" w:cs="宋体"/>
              </w:rPr>
              <w:t>3</w:t>
            </w:r>
          </w:p>
        </w:tc>
        <w:tc>
          <w:tcPr>
            <w:tcW w:w="6527" w:type="dxa"/>
            <w:tcBorders>
              <w:bottom w:val="single" w:color="auto" w:sz="4" w:space="0"/>
            </w:tcBorders>
            <w:vAlign w:val="center"/>
          </w:tcPr>
          <w:p>
            <w:pPr>
              <w:adjustRightInd w:val="0"/>
              <w:snapToGrid w:val="0"/>
              <w:spacing w:line="360" w:lineRule="exact"/>
              <w:textAlignment w:val="baseline"/>
              <w:rPr>
                <w:rFonts w:hint="eastAsia" w:ascii="宋体" w:hAnsi="宋体" w:eastAsia="宋体" w:cs="宋体"/>
                <w:sz w:val="22"/>
                <w:szCs w:val="21"/>
                <w:highlight w:val="yellow"/>
                <w:lang w:val="en-US" w:eastAsia="en-US" w:bidi="en-US"/>
              </w:rPr>
            </w:pPr>
            <w:r>
              <w:rPr>
                <w:rFonts w:hint="eastAsia" w:ascii="宋体" w:hAnsi="宋体" w:cs="宋体"/>
                <w:szCs w:val="21"/>
                <w:highlight w:val="none"/>
              </w:rPr>
              <w:t>投标人近</w:t>
            </w:r>
            <w:r>
              <w:rPr>
                <w:rFonts w:hint="eastAsia" w:ascii="宋体" w:hAnsi="宋体" w:cs="宋体"/>
                <w:szCs w:val="21"/>
                <w:highlight w:val="none"/>
                <w:lang w:val="en-US" w:eastAsia="zh-CN"/>
              </w:rPr>
              <w:t>五</w:t>
            </w:r>
            <w:r>
              <w:rPr>
                <w:rFonts w:hint="eastAsia" w:ascii="宋体" w:hAnsi="宋体" w:cs="宋体"/>
                <w:szCs w:val="21"/>
                <w:highlight w:val="none"/>
              </w:rPr>
              <w:t>年</w:t>
            </w:r>
            <w:r>
              <w:rPr>
                <w:rFonts w:hint="eastAsia" w:ascii="宋体" w:hAnsi="宋体" w:cs="宋体"/>
                <w:szCs w:val="21"/>
                <w:highlight w:val="none"/>
                <w:lang w:val="en-US" w:eastAsia="zh-CN"/>
              </w:rPr>
              <w:t>内获得市级展会类相关奖项</w:t>
            </w:r>
            <w:r>
              <w:rPr>
                <w:rFonts w:hint="eastAsia" w:ascii="宋体" w:hAnsi="宋体" w:cs="宋体"/>
                <w:szCs w:val="21"/>
                <w:highlight w:val="none"/>
              </w:rPr>
              <w:t>，每提供一个得1分，（需提供相应资料备查），本项最高得分3分。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bottom w:val="single" w:color="auto" w:sz="4" w:space="0"/>
            </w:tcBorders>
            <w:vAlign w:val="center"/>
          </w:tcPr>
          <w:p>
            <w:pPr>
              <w:adjustRightInd w:val="0"/>
              <w:snapToGrid w:val="0"/>
              <w:spacing w:line="360" w:lineRule="exact"/>
              <w:jc w:val="center"/>
              <w:textAlignment w:val="baseline"/>
              <w:rPr>
                <w:rFonts w:hint="default" w:ascii="宋体" w:hAnsi="宋体" w:eastAsia="宋体" w:cs="宋体"/>
                <w:lang w:val="en-US" w:eastAsia="zh-CN"/>
              </w:rPr>
            </w:pPr>
            <w:r>
              <w:rPr>
                <w:rFonts w:hint="eastAsia" w:ascii="宋体" w:hAnsi="宋体" w:cs="宋体"/>
                <w:lang w:val="en-US" w:eastAsia="zh-CN"/>
              </w:rPr>
              <w:t>12</w:t>
            </w:r>
          </w:p>
        </w:tc>
        <w:tc>
          <w:tcPr>
            <w:tcW w:w="1656" w:type="dxa"/>
            <w:tcBorders>
              <w:bottom w:val="single" w:color="auto" w:sz="4" w:space="0"/>
            </w:tcBorders>
            <w:vAlign w:val="center"/>
          </w:tcPr>
          <w:p>
            <w:pPr>
              <w:adjustRightInd w:val="0"/>
              <w:snapToGrid w:val="0"/>
              <w:spacing w:line="360" w:lineRule="exact"/>
              <w:ind w:left="220" w:leftChars="0" w:hanging="220" w:hangingChars="100"/>
              <w:jc w:val="center"/>
              <w:textAlignment w:val="baseline"/>
              <w:rPr>
                <w:rFonts w:hint="default" w:ascii="宋体" w:hAnsi="宋体" w:cs="宋体"/>
                <w:lang w:val="en-US" w:eastAsia="zh-CN"/>
              </w:rPr>
            </w:pPr>
            <w:r>
              <w:rPr>
                <w:rFonts w:hint="eastAsia" w:ascii="宋体" w:hAnsi="宋体" w:cs="宋体"/>
                <w:lang w:val="en-US" w:eastAsia="zh-CN"/>
              </w:rPr>
              <w:t>异地执行</w:t>
            </w:r>
          </w:p>
        </w:tc>
        <w:tc>
          <w:tcPr>
            <w:tcW w:w="1312"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lang w:val="en-US" w:eastAsia="zh-CN"/>
              </w:rPr>
            </w:pPr>
            <w:r>
              <w:rPr>
                <w:rFonts w:hint="eastAsia" w:ascii="宋体" w:hAnsi="宋体" w:cs="宋体"/>
                <w:lang w:val="en-US" w:eastAsia="zh-CN"/>
              </w:rPr>
              <w:t>2</w:t>
            </w:r>
          </w:p>
        </w:tc>
        <w:tc>
          <w:tcPr>
            <w:tcW w:w="6527" w:type="dxa"/>
            <w:tcBorders>
              <w:bottom w:val="single" w:color="auto" w:sz="4" w:space="0"/>
            </w:tcBorders>
            <w:vAlign w:val="center"/>
          </w:tcPr>
          <w:p>
            <w:pPr>
              <w:adjustRightInd w:val="0"/>
              <w:snapToGrid w:val="0"/>
              <w:spacing w:line="360" w:lineRule="exact"/>
              <w:textAlignment w:val="baseline"/>
              <w:rPr>
                <w:rFonts w:hint="default" w:ascii="宋体" w:hAnsi="宋体" w:cs="宋体"/>
                <w:szCs w:val="21"/>
                <w:lang w:val="en-US" w:eastAsia="zh-CN"/>
              </w:rPr>
            </w:pPr>
            <w:r>
              <w:rPr>
                <w:rFonts w:hint="eastAsia" w:ascii="宋体" w:hAnsi="宋体" w:cs="宋体"/>
                <w:szCs w:val="21"/>
                <w:lang w:val="en-US" w:eastAsia="zh-CN"/>
              </w:rPr>
              <w:t>投标人在福建省外的城市承接过路演推介或会议活动不少于5场的得1分，超过5场的每多一场得1分，该项最高得分为2分，未提供不得分。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zh-CN" w:bidi="en-US"/>
              </w:rPr>
            </w:pPr>
            <w:r>
              <w:rPr>
                <w:rFonts w:ascii="宋体" w:hAnsi="宋体" w:cs="宋体"/>
              </w:rPr>
              <w:t>1</w:t>
            </w:r>
            <w:r>
              <w:rPr>
                <w:rFonts w:hint="eastAsia" w:ascii="宋体" w:hAnsi="宋体" w:cs="宋体"/>
                <w:lang w:val="en-US" w:eastAsia="zh-CN"/>
              </w:rPr>
              <w:t>3</w:t>
            </w:r>
          </w:p>
        </w:tc>
        <w:tc>
          <w:tcPr>
            <w:tcW w:w="1656" w:type="dxa"/>
            <w:tcBorders>
              <w:bottom w:val="single" w:color="auto" w:sz="4" w:space="0"/>
            </w:tcBorders>
            <w:vAlign w:val="center"/>
          </w:tcPr>
          <w:p>
            <w:pPr>
              <w:adjustRightInd w:val="0"/>
              <w:snapToGrid w:val="0"/>
              <w:spacing w:line="360" w:lineRule="exact"/>
              <w:ind w:left="220" w:leftChars="0" w:hanging="220" w:hangingChars="100"/>
              <w:jc w:val="center"/>
              <w:textAlignment w:val="baseline"/>
              <w:rPr>
                <w:rFonts w:hint="eastAsia" w:ascii="宋体" w:hAnsi="宋体" w:eastAsia="宋体" w:cs="宋体"/>
                <w:sz w:val="22"/>
                <w:szCs w:val="22"/>
                <w:lang w:val="zh-CN" w:eastAsia="zh-CN" w:bidi="en-US"/>
              </w:rPr>
            </w:pPr>
            <w:r>
              <w:rPr>
                <w:rFonts w:hint="eastAsia" w:ascii="宋体" w:hAnsi="宋体" w:cs="宋体"/>
                <w:lang w:val="en-US" w:eastAsia="zh-CN"/>
              </w:rPr>
              <w:t>行业经验</w:t>
            </w:r>
          </w:p>
        </w:tc>
        <w:tc>
          <w:tcPr>
            <w:tcW w:w="1312"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en-US" w:bidi="en-US"/>
              </w:rPr>
            </w:pPr>
            <w:r>
              <w:rPr>
                <w:rFonts w:ascii="宋体" w:hAnsi="宋体" w:cs="宋体"/>
              </w:rPr>
              <w:t>2</w:t>
            </w:r>
          </w:p>
        </w:tc>
        <w:tc>
          <w:tcPr>
            <w:tcW w:w="6527" w:type="dxa"/>
            <w:tcBorders>
              <w:bottom w:val="single" w:color="auto" w:sz="4" w:space="0"/>
            </w:tcBorders>
            <w:vAlign w:val="center"/>
          </w:tcPr>
          <w:p>
            <w:pPr>
              <w:adjustRightInd w:val="0"/>
              <w:snapToGrid w:val="0"/>
              <w:spacing w:line="360" w:lineRule="exact"/>
              <w:textAlignment w:val="baseline"/>
              <w:rPr>
                <w:rFonts w:hint="default" w:ascii="宋体" w:hAnsi="宋体" w:eastAsia="宋体" w:cs="宋体"/>
                <w:sz w:val="22"/>
                <w:szCs w:val="22"/>
                <w:lang w:val="en-US" w:eastAsia="zh-CN" w:bidi="en-US"/>
              </w:rPr>
            </w:pPr>
            <w:r>
              <w:rPr>
                <w:rFonts w:hint="eastAsia" w:ascii="宋体" w:hAnsi="宋体" w:cs="宋体"/>
                <w:szCs w:val="21"/>
                <w:lang w:val="en-US" w:eastAsia="zh-CN"/>
              </w:rPr>
              <w:t>根据</w:t>
            </w:r>
            <w:r>
              <w:rPr>
                <w:rFonts w:hint="eastAsia" w:ascii="宋体" w:hAnsi="宋体" w:cs="宋体"/>
                <w:szCs w:val="21"/>
              </w:rPr>
              <w:t>投标人</w:t>
            </w:r>
            <w:r>
              <w:rPr>
                <w:rFonts w:hint="eastAsia" w:ascii="宋体" w:hAnsi="宋体" w:cs="宋体"/>
                <w:szCs w:val="21"/>
                <w:lang w:val="en-US" w:eastAsia="zh-CN"/>
              </w:rPr>
              <w:t>提供的业绩证明中，执行服务过跨境电商行业同类型展会的得2分，未提供不得分。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bottom w:val="single" w:color="auto" w:sz="4" w:space="0"/>
            </w:tcBorders>
            <w:vAlign w:val="center"/>
          </w:tcPr>
          <w:p>
            <w:pPr>
              <w:spacing w:line="360" w:lineRule="auto"/>
              <w:rPr>
                <w:rFonts w:hint="eastAsia" w:ascii="宋体" w:hAnsi="宋体" w:eastAsia="宋体" w:cs="宋体"/>
                <w:kern w:val="0"/>
                <w:sz w:val="22"/>
                <w:szCs w:val="21"/>
                <w:lang w:val="zh-CN" w:eastAsia="zh-CN" w:bidi="en-US"/>
              </w:rPr>
            </w:pPr>
          </w:p>
        </w:tc>
        <w:tc>
          <w:tcPr>
            <w:tcW w:w="1656" w:type="dxa"/>
            <w:tcBorders>
              <w:bottom w:val="single" w:color="auto" w:sz="4" w:space="0"/>
            </w:tcBorders>
            <w:vAlign w:val="center"/>
          </w:tcPr>
          <w:p>
            <w:pPr>
              <w:adjustRightInd w:val="0"/>
              <w:snapToGrid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合计</w:t>
            </w:r>
          </w:p>
        </w:tc>
        <w:tc>
          <w:tcPr>
            <w:tcW w:w="1312" w:type="dxa"/>
            <w:tcBorders>
              <w:bottom w:val="single" w:color="auto" w:sz="4" w:space="0"/>
            </w:tcBorders>
            <w:vAlign w:val="center"/>
          </w:tcPr>
          <w:p>
            <w:pPr>
              <w:adjustRightInd w:val="0"/>
              <w:snapToGrid w:val="0"/>
              <w:spacing w:before="120" w:after="12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w:t>
            </w:r>
            <w:r>
              <w:rPr>
                <w:rFonts w:hint="eastAsia" w:asciiTheme="minorEastAsia" w:hAnsiTheme="minorEastAsia" w:eastAsiaTheme="minorEastAsia"/>
                <w:color w:val="000000" w:themeColor="text1"/>
                <w:lang w:val="en-US" w:eastAsia="zh-CN"/>
                <w14:textFill>
                  <w14:solidFill>
                    <w14:schemeClr w14:val="tx1"/>
                  </w14:solidFill>
                </w14:textFill>
              </w:rPr>
              <w:t>5</w:t>
            </w:r>
          </w:p>
        </w:tc>
        <w:tc>
          <w:tcPr>
            <w:tcW w:w="6527" w:type="dxa"/>
            <w:tcBorders>
              <w:bottom w:val="single" w:color="auto" w:sz="4" w:space="0"/>
            </w:tcBorders>
          </w:tcPr>
          <w:p>
            <w:pPr>
              <w:adjustRightInd w:val="0"/>
              <w:snapToGrid w:val="0"/>
              <w:rPr>
                <w:rFonts w:asciiTheme="minorEastAsia" w:hAnsiTheme="minorEastAsia" w:eastAsiaTheme="minorEastAsia"/>
                <w:color w:val="000000" w:themeColor="text1"/>
                <w14:textFill>
                  <w14:solidFill>
                    <w14:schemeClr w14:val="tx1"/>
                  </w14:solidFill>
                </w14:textFill>
              </w:rPr>
            </w:pPr>
          </w:p>
        </w:tc>
      </w:tr>
    </w:tbl>
    <w:p>
      <w:pPr>
        <w:adjustRightInd w:val="0"/>
        <w:snapToGrid w:val="0"/>
        <w:spacing w:before="120" w:after="120"/>
        <w:rPr>
          <w:rFonts w:asciiTheme="minorEastAsia" w:hAnsiTheme="minorEastAsia" w:eastAsiaTheme="minorEastAsia"/>
          <w:color w:val="000000" w:themeColor="text1"/>
          <w14:textFill>
            <w14:solidFill>
              <w14:schemeClr w14:val="tx1"/>
            </w14:solidFill>
          </w14:textFill>
        </w:rPr>
      </w:pPr>
    </w:p>
    <w:p>
      <w:pPr>
        <w:snapToGrid w:val="0"/>
        <w:spacing w:line="360" w:lineRule="auto"/>
        <w:rPr>
          <w:rFonts w:asciiTheme="minorEastAsia" w:hAnsiTheme="minorEastAsia" w:eastAsiaTheme="minorEastAsia"/>
          <w:bCs/>
          <w:lang w:eastAsia="zh-CN"/>
        </w:rPr>
      </w:pPr>
      <w:r>
        <w:rPr>
          <w:rFonts w:hint="eastAsia" w:asciiTheme="minorEastAsia" w:hAnsiTheme="minorEastAsia" w:eastAsiaTheme="minorEastAsia"/>
          <w:lang w:eastAsia="zh-CN"/>
        </w:rPr>
        <w:t>注：</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bCs/>
          <w:lang w:eastAsia="zh-CN"/>
        </w:rPr>
        <w:t>1．上述</w:t>
      </w:r>
      <w:r>
        <w:rPr>
          <w:rFonts w:hint="eastAsia" w:asciiTheme="minorEastAsia" w:hAnsiTheme="minorEastAsia" w:eastAsiaTheme="minorEastAsia"/>
          <w:bCs/>
          <w:lang w:val="en-US" w:eastAsia="zh-CN"/>
        </w:rPr>
        <w:t>三</w:t>
      </w:r>
      <w:r>
        <w:rPr>
          <w:rFonts w:hint="eastAsia" w:asciiTheme="minorEastAsia" w:hAnsiTheme="minorEastAsia" w:eastAsiaTheme="minorEastAsia"/>
          <w:bCs/>
          <w:lang w:eastAsia="zh-CN"/>
        </w:rPr>
        <w:t>部分相加为最后得分，评标委员会将按照最高得分确定中标候选人，得分相同时，以投标报价最接近标底价的投标人排名在前。</w:t>
      </w:r>
    </w:p>
    <w:p>
      <w:pPr>
        <w:adjustRightInd w:val="0"/>
        <w:spacing w:line="360" w:lineRule="auto"/>
        <w:ind w:firstLine="565" w:firstLineChars="257"/>
        <w:rPr>
          <w:rFonts w:asciiTheme="minorEastAsia" w:hAnsiTheme="minorEastAsia" w:eastAsiaTheme="minorEastAsia"/>
          <w:lang w:eastAsia="zh-CN"/>
        </w:rPr>
      </w:pP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t>．如果发现投标人在证明文件中有弄虚作假情况，则该文件作废标处理。</w:t>
      </w:r>
    </w:p>
    <w:p>
      <w:pPr>
        <w:snapToGrid w:val="0"/>
        <w:spacing w:line="360" w:lineRule="auto"/>
        <w:ind w:firstLine="565" w:firstLineChars="257"/>
        <w:rPr>
          <w:rFonts w:asciiTheme="minorEastAsia" w:hAnsiTheme="minorEastAsia" w:eastAsiaTheme="minorEastAsia"/>
          <w:bCs/>
          <w:lang w:eastAsia="zh-CN"/>
        </w:rPr>
      </w:pPr>
      <w:r>
        <w:rPr>
          <w:rFonts w:hint="eastAsia" w:asciiTheme="minorEastAsia" w:hAnsiTheme="minorEastAsia" w:eastAsiaTheme="minorEastAsia"/>
          <w:bCs/>
          <w:lang w:val="en-US" w:eastAsia="zh-CN"/>
        </w:rPr>
        <w:t>3</w:t>
      </w:r>
      <w:r>
        <w:rPr>
          <w:rFonts w:hint="eastAsia" w:asciiTheme="minorEastAsia" w:hAnsiTheme="minorEastAsia" w:eastAsiaTheme="minorEastAsia"/>
          <w:bCs/>
          <w:lang w:eastAsia="zh-CN"/>
        </w:rPr>
        <w:t>．所有的业绩和人员的（合同、验收证明）复印件装订投标文件中，原（证）件（如需要待招标方通知后在规定的时间内提交复查）。</w:t>
      </w:r>
    </w:p>
    <w:p>
      <w:pPr>
        <w:snapToGrid w:val="0"/>
        <w:spacing w:line="360" w:lineRule="auto"/>
        <w:ind w:firstLine="565" w:firstLineChars="257"/>
        <w:rPr>
          <w:rFonts w:hint="eastAsia" w:cs="宋体" w:asciiTheme="minorEastAsia" w:hAnsiTheme="minorEastAsia" w:eastAsiaTheme="minorEastAsia"/>
          <w:highlight w:val="yellow"/>
          <w:lang w:eastAsia="zh-CN"/>
        </w:rPr>
      </w:pPr>
      <w:r>
        <w:rPr>
          <w:rFonts w:hint="eastAsia" w:asciiTheme="minorEastAsia" w:hAnsiTheme="minorEastAsia" w:eastAsiaTheme="minorEastAsia"/>
          <w:bCs/>
          <w:lang w:val="en-US" w:eastAsia="zh-CN"/>
        </w:rPr>
        <w:t>4</w:t>
      </w:r>
      <w:r>
        <w:rPr>
          <w:rFonts w:hint="eastAsia" w:asciiTheme="minorEastAsia" w:hAnsiTheme="minorEastAsia" w:eastAsiaTheme="minorEastAsia"/>
          <w:bCs/>
          <w:lang w:eastAsia="zh-CN"/>
        </w:rPr>
        <w:t>.以上评分标准过程控制内容将列入合同条款，如非因我方原因未按投标方案执行，将承担相应的处罚后果。</w:t>
      </w:r>
    </w:p>
    <w:sectPr>
      <w:footerReference r:id="rId16" w:type="default"/>
      <w:pgSz w:w="11906" w:h="16838"/>
      <w:pgMar w:top="1089" w:right="1599" w:bottom="568" w:left="1599" w:header="851" w:footer="850" w:gutter="0"/>
      <w:pgNumType w:fmt="decimal"/>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utura Hv">
    <w:altName w:val="Arial"/>
    <w:panose1 w:val="00000000000000000000"/>
    <w:charset w:val="00"/>
    <w:family w:val="auto"/>
    <w:pitch w:val="default"/>
    <w:sig w:usb0="00000000" w:usb1="00000000" w:usb2="00000000" w:usb3="00000000" w:csb0="00000001"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1FB"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0000000000000000000"/>
    <w:charset w:val="00"/>
    <w:family w:val="roman"/>
    <w:pitch w:val="default"/>
    <w:sig w:usb0="00000000" w:usb1="00000000" w:usb2="00000009" w:usb3="00000000" w:csb0="000001FF" w:csb1="00000000"/>
  </w:font>
  <w:font w:name="Tms Rmn">
    <w:altName w:val="Segoe Print"/>
    <w:panose1 w:val="02020603040505020304"/>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Arial,Bold">
    <w:altName w:val="Arial"/>
    <w:panose1 w:val="00000000000000000000"/>
    <w:charset w:val="00"/>
    <w:family w:val="auto"/>
    <w:pitch w:val="default"/>
    <w:sig w:usb0="00000000" w:usb1="00000000" w:usb2="00000000" w:usb3="00000000" w:csb0="00000001" w:csb1="00000000"/>
  </w:font>
  <w:font w:name="ATC-6c494eea4e2d7b497ebf7b80*+H">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TC-6c494eea59279ed17b80*+Arial">
    <w:altName w:val="宋体"/>
    <w:panose1 w:val="00000000000000000000"/>
    <w:charset w:val="86"/>
    <w:family w:val="auto"/>
    <w:pitch w:val="default"/>
    <w:sig w:usb0="00000000" w:usb1="00000000" w:usb2="00000010" w:usb3="00000000" w:csb0="00040000"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14935" cy="131445"/>
              <wp:effectExtent l="0" t="0" r="0" b="0"/>
              <wp:wrapNone/>
              <wp:docPr id="16" name="文本框31"/>
              <wp:cNvGraphicFramePr/>
              <a:graphic xmlns:a="http://schemas.openxmlformats.org/drawingml/2006/main">
                <a:graphicData uri="http://schemas.microsoft.com/office/word/2010/wordprocessingShape">
                  <wps:wsp>
                    <wps:cNvSpPr/>
                    <wps:spPr>
                      <a:xfrm>
                        <a:off x="0" y="0"/>
                        <a:ext cx="114935" cy="131445"/>
                      </a:xfrm>
                      <a:prstGeom prst="rect">
                        <a:avLst/>
                      </a:prstGeom>
                      <a:noFill/>
                      <a:ln w="9525">
                        <a:noFill/>
                      </a:ln>
                    </wps:spPr>
                    <wps:txbx>
                      <w:txbxContent>
                        <w:p>
                          <w:pPr>
                            <w:pStyle w:val="25"/>
                            <w:jc w:val="center"/>
                          </w:pPr>
                        </w:p>
                      </w:txbxContent>
                    </wps:txbx>
                    <wps:bodyPr wrap="none" lIns="0" tIns="0" rIns="0" bIns="0" upright="1">
                      <a:spAutoFit/>
                    </wps:bodyPr>
                  </wps:wsp>
                </a:graphicData>
              </a:graphic>
            </wp:anchor>
          </w:drawing>
        </mc:Choice>
        <mc:Fallback>
          <w:pict>
            <v:rect id="文本框31" o:spid="_x0000_s1026" o:spt="1" style="position:absolute;left:0pt;margin-top:0pt;height:10.35pt;width:9.05pt;mso-position-horizontal:center;mso-position-horizontal-relative:margin;mso-wrap-style:none;z-index:251668480;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S/0sLQAAAAAwEAAA8AAAAAAAAAAQAgAAAAIgAAAGRycy9k&#10;b3ducmV2LnhtbFBLAQIUABQAAAAIAIdO4kCQZrA40QEAAJcDAAAOAAAAAAAAAAEAIAAAAB8BAABk&#10;cnMvZTJvRG9jLnhtbFBLBQYAAAAABgAGAFkBAABiBQAAAAA=&#10;">
              <v:fill on="f" focussize="0,0"/>
              <v:stroke on="f"/>
              <v:imagedata o:title=""/>
              <o:lock v:ext="edit" aspectratio="f"/>
              <v:textbox inset="0mm,0mm,0mm,0mm" style="mso-fit-shape-to-text:t;">
                <w:txbxContent>
                  <w:p>
                    <w:pPr>
                      <w:pStyle w:val="25"/>
                      <w:jc w:val="center"/>
                    </w:pP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31445"/>
              <wp:effectExtent l="0" t="0" r="0" b="0"/>
              <wp:wrapNone/>
              <wp:docPr id="15" name="文本框29"/>
              <wp:cNvGraphicFramePr/>
              <a:graphic xmlns:a="http://schemas.openxmlformats.org/drawingml/2006/main">
                <a:graphicData uri="http://schemas.microsoft.com/office/word/2010/wordprocessingShape">
                  <wps:wsp>
                    <wps:cNvSpPr/>
                    <wps:spPr>
                      <a:xfrm>
                        <a:off x="0" y="0"/>
                        <a:ext cx="114935" cy="131445"/>
                      </a:xfrm>
                      <a:prstGeom prst="rect">
                        <a:avLst/>
                      </a:prstGeom>
                      <a:noFill/>
                      <a:ln w="9525">
                        <a:noFill/>
                      </a:ln>
                    </wps:spPr>
                    <wps:txbx>
                      <w:txbxContent>
                        <w:p>
                          <w:pPr>
                            <w:pStyle w:val="25"/>
                            <w:jc w:val="center"/>
                          </w:pPr>
                        </w:p>
                      </w:txbxContent>
                    </wps:txbx>
                    <wps:bodyPr wrap="none" lIns="0" tIns="0" rIns="0" bIns="0" upright="1">
                      <a:spAutoFit/>
                    </wps:bodyPr>
                  </wps:wsp>
                </a:graphicData>
              </a:graphic>
            </wp:anchor>
          </w:drawing>
        </mc:Choice>
        <mc:Fallback>
          <w:pict>
            <v:rect id="文本框29" o:spid="_x0000_s1026" o:spt="1" style="position:absolute;left:0pt;margin-top:0pt;height:10.35pt;width:9.05pt;mso-position-horizontal:center;mso-position-horizontal-relative:margin;mso-wrap-style:none;z-index:251667456;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S/0sLQAAAAAwEAAA8AAAAAAAAAAQAgAAAAIgAAAGRycy9k&#10;b3ducmV2LnhtbFBLAQIUABQAAAAIAIdO4kCNWxUK0QEAAJcDAAAOAAAAAAAAAAEAIAAAAB8BAABk&#10;cnMvZTJvRG9jLnhtbFBLBQYAAAAABgAGAFkBAABiBQAAAAA=&#10;">
              <v:fill on="f" focussize="0,0"/>
              <v:stroke on="f"/>
              <v:imagedata o:title=""/>
              <o:lock v:ext="edit" aspectratio="f"/>
              <v:textbox inset="0mm,0mm,0mm,0mm" style="mso-fit-shape-to-text:t;">
                <w:txbxContent>
                  <w:p>
                    <w:pPr>
                      <w:pStyle w:val="25"/>
                      <w:jc w:val="center"/>
                    </w:pP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14" name="文本框26"/>
              <wp:cNvGraphicFramePr/>
              <a:graphic xmlns:a="http://schemas.openxmlformats.org/drawingml/2006/main">
                <a:graphicData uri="http://schemas.microsoft.com/office/word/2010/wordprocessingShape">
                  <wps:wsp>
                    <wps:cNvSpPr/>
                    <wps:spPr>
                      <a:xfrm>
                        <a:off x="0" y="0"/>
                        <a:ext cx="114935" cy="131445"/>
                      </a:xfrm>
                      <a:prstGeom prst="rect">
                        <a:avLst/>
                      </a:prstGeom>
                      <a:noFill/>
                      <a:ln w="9525">
                        <a:noFill/>
                      </a:ln>
                    </wps:spPr>
                    <wps:txbx>
                      <w:txbxContent>
                        <w:p>
                          <w:pPr>
                            <w:pStyle w:val="25"/>
                            <w:jc w:val="center"/>
                          </w:pPr>
                        </w:p>
                      </w:txbxContent>
                    </wps:txbx>
                    <wps:bodyPr wrap="none" lIns="0" tIns="0" rIns="0" bIns="0" upright="1">
                      <a:spAutoFit/>
                    </wps:bodyPr>
                  </wps:wsp>
                </a:graphicData>
              </a:graphic>
            </wp:anchor>
          </w:drawing>
        </mc:Choice>
        <mc:Fallback>
          <w:pict>
            <v:rect id="文本框26" o:spid="_x0000_s1026" o:spt="1"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0v9LC0AAAAAMBAAAPAAAAAAAAAAEAIAAAACIAAABkcnMv&#10;ZG93bnJldi54bWxQSwECFAAUAAAACACHTuJAGeYFSdIBAACXAwAADgAAAAAAAAABACAAAAAfAQAA&#10;ZHJzL2Uyb0RvYy54bWxQSwUGAAAAAAYABgBZAQAAYwUAAAAA&#10;">
              <v:fill on="f" focussize="0,0"/>
              <v:stroke on="f"/>
              <v:imagedata o:title=""/>
              <o:lock v:ext="edit" aspectratio="f"/>
              <v:textbox inset="0mm,0mm,0mm,0mm" style="mso-fit-shape-to-text:t;">
                <w:txbxContent>
                  <w:p>
                    <w:pPr>
                      <w:pStyle w:val="25"/>
                      <w:jc w:val="center"/>
                    </w:pP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13" name="文本框24"/>
              <wp:cNvGraphicFramePr/>
              <a:graphic xmlns:a="http://schemas.openxmlformats.org/drawingml/2006/main">
                <a:graphicData uri="http://schemas.microsoft.com/office/word/2010/wordprocessingShape">
                  <wps:wsp>
                    <wps:cNvSpPr/>
                    <wps:spPr>
                      <a:xfrm>
                        <a:off x="0" y="0"/>
                        <a:ext cx="114935" cy="131445"/>
                      </a:xfrm>
                      <a:prstGeom prst="rect">
                        <a:avLst/>
                      </a:prstGeom>
                      <a:noFill/>
                      <a:ln w="9525">
                        <a:noFill/>
                      </a:ln>
                    </wps:spPr>
                    <wps:txbx>
                      <w:txbxContent>
                        <w:p>
                          <w:pPr>
                            <w:pStyle w:val="25"/>
                            <w:jc w:val="center"/>
                          </w:pPr>
                        </w:p>
                      </w:txbxContent>
                    </wps:txbx>
                    <wps:bodyPr wrap="none" lIns="0" tIns="0" rIns="0" bIns="0" upright="1">
                      <a:spAutoFit/>
                    </wps:bodyPr>
                  </wps:wsp>
                </a:graphicData>
              </a:graphic>
            </wp:anchor>
          </w:drawing>
        </mc:Choice>
        <mc:Fallback>
          <w:pict>
            <v:rect id="文本框24" o:spid="_x0000_s1026" o:spt="1"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S/0sLQAAAAAwEAAA8AAAAAAAAAAQAgAAAAIgAAAGRycy9k&#10;b3ducmV2LnhtbFBLAQIUABQAAAAIAIdO4kAhJWT30QEAAJcDAAAOAAAAAAAAAAEAIAAAAB8BAABk&#10;cnMvZTJvRG9jLnhtbFBLBQYAAAAABgAGAFkBAABiBQAAAAA=&#10;">
              <v:fill on="f" focussize="0,0"/>
              <v:stroke on="f"/>
              <v:imagedata o:title=""/>
              <o:lock v:ext="edit" aspectratio="f"/>
              <v:textbox inset="0mm,0mm,0mm,0mm" style="mso-fit-shape-to-text:t;">
                <w:txbxContent>
                  <w:p>
                    <w:pPr>
                      <w:pStyle w:val="25"/>
                      <w:jc w:val="center"/>
                    </w:pP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12" name="文本框21"/>
              <wp:cNvGraphicFramePr/>
              <a:graphic xmlns:a="http://schemas.openxmlformats.org/drawingml/2006/main">
                <a:graphicData uri="http://schemas.microsoft.com/office/word/2010/wordprocessingShape">
                  <wps:wsp>
                    <wps:cNvSpPr/>
                    <wps:spPr>
                      <a:xfrm>
                        <a:off x="0" y="0"/>
                        <a:ext cx="114935" cy="131445"/>
                      </a:xfrm>
                      <a:prstGeom prst="rect">
                        <a:avLst/>
                      </a:prstGeom>
                      <a:noFill/>
                      <a:ln w="9525">
                        <a:noFill/>
                      </a:ln>
                    </wps:spPr>
                    <wps:txbx>
                      <w:txbxContent>
                        <w:p>
                          <w:pPr>
                            <w:pStyle w:val="25"/>
                            <w:jc w:val="center"/>
                          </w:pPr>
                        </w:p>
                      </w:txbxContent>
                    </wps:txbx>
                    <wps:bodyPr wrap="none" lIns="0" tIns="0" rIns="0" bIns="0" upright="1">
                      <a:spAutoFit/>
                    </wps:bodyPr>
                  </wps:wsp>
                </a:graphicData>
              </a:graphic>
            </wp:anchor>
          </w:drawing>
        </mc:Choice>
        <mc:Fallback>
          <w:pict>
            <v:rect id="文本框21" o:spid="_x0000_s1026" o:spt="1"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S/0sLQAAAAAwEAAA8AAAAAAAAAAQAgAAAAIgAAAGRycy9k&#10;b3ducmV2LnhtbFBLAQIUABQAAAAIAIdO4kACjpsV0QEAAJcDAAAOAAAAAAAAAAEAIAAAAB8BAABk&#10;cnMvZTJvRG9jLnhtbFBLBQYAAAAABgAGAFkBAABiBQAAAAA=&#10;">
              <v:fill on="f" focussize="0,0"/>
              <v:stroke on="f"/>
              <v:imagedata o:title=""/>
              <o:lock v:ext="edit" aspectratio="f"/>
              <v:textbox inset="0mm,0mm,0mm,0mm" style="mso-fit-shape-to-text:t;">
                <w:txbxContent>
                  <w:p>
                    <w:pPr>
                      <w:pStyle w:val="25"/>
                      <w:jc w:val="center"/>
                    </w:pP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11" name="文本框19"/>
              <wp:cNvGraphicFramePr/>
              <a:graphic xmlns:a="http://schemas.openxmlformats.org/drawingml/2006/main">
                <a:graphicData uri="http://schemas.microsoft.com/office/word/2010/wordprocessingShape">
                  <wps:wsp>
                    <wps:cNvSpPr/>
                    <wps:spPr>
                      <a:xfrm>
                        <a:off x="0" y="0"/>
                        <a:ext cx="114935" cy="131445"/>
                      </a:xfrm>
                      <a:prstGeom prst="rect">
                        <a:avLst/>
                      </a:prstGeom>
                      <a:noFill/>
                      <a:ln w="9525">
                        <a:noFill/>
                      </a:ln>
                    </wps:spPr>
                    <wps:txbx>
                      <w:txbxContent>
                        <w:p>
                          <w:pPr>
                            <w:pStyle w:val="25"/>
                            <w:jc w:val="center"/>
                          </w:pPr>
                        </w:p>
                      </w:txbxContent>
                    </wps:txbx>
                    <wps:bodyPr wrap="none" lIns="0" tIns="0" rIns="0" bIns="0" upright="1">
                      <a:spAutoFit/>
                    </wps:bodyPr>
                  </wps:wsp>
                </a:graphicData>
              </a:graphic>
            </wp:anchor>
          </w:drawing>
        </mc:Choice>
        <mc:Fallback>
          <w:pict>
            <v:rect id="文本框19" o:spid="_x0000_s1026" o:spt="1"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S/0sLQAAAAAwEAAA8AAAAAAAAAAQAgAAAAIgAAAGRycy9k&#10;b3ducmV2LnhtbFBLAQIUABQAAAAIAIdO4kA4cn/t0QEAAJcDAAAOAAAAAAAAAAEAIAAAAB8BAABk&#10;cnMvZTJvRG9jLnhtbFBLBQYAAAAABgAGAFkBAABiBQAAAAA=&#10;">
              <v:fill on="f" focussize="0,0"/>
              <v:stroke on="f"/>
              <v:imagedata o:title=""/>
              <o:lock v:ext="edit" aspectratio="f"/>
              <v:textbox inset="0mm,0mm,0mm,0mm" style="mso-fit-shape-to-text:t;">
                <w:txbxContent>
                  <w:p>
                    <w:pPr>
                      <w:pStyle w:val="25"/>
                      <w:jc w:val="cente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15"/>
              <wp:cNvGraphicFramePr/>
              <a:graphic xmlns:a="http://schemas.openxmlformats.org/drawingml/2006/main">
                <a:graphicData uri="http://schemas.microsoft.com/office/word/2010/wordprocessingShape">
                  <wps:wsp>
                    <wps:cNvSpPr/>
                    <wps:spPr>
                      <a:xfrm>
                        <a:off x="0" y="0"/>
                        <a:ext cx="114935" cy="131445"/>
                      </a:xfrm>
                      <a:prstGeom prst="rect">
                        <a:avLst/>
                      </a:prstGeom>
                      <a:noFill/>
                      <a:ln w="9525">
                        <a:noFill/>
                      </a:ln>
                    </wps:spPr>
                    <wps:txbx>
                      <w:txbxContent>
                        <w:p>
                          <w:pPr>
                            <w:pStyle w:val="25"/>
                            <w:jc w:val="center"/>
                          </w:pPr>
                        </w:p>
                      </w:txbxContent>
                    </wps:txbx>
                    <wps:bodyPr wrap="none" lIns="0" tIns="0" rIns="0" bIns="0" upright="1">
                      <a:spAutoFit/>
                    </wps:bodyPr>
                  </wps:wsp>
                </a:graphicData>
              </a:graphic>
            </wp:anchor>
          </w:drawing>
        </mc:Choice>
        <mc:Fallback>
          <w:pict>
            <v:rect id="文本框15" o:spid="_x0000_s1026" o:spt="1"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L/SwtAAAAADAQAADwAAAAAAAAABACAAAAAiAAAAZHJzL2Rv&#10;d25yZXYueG1sUEsBAhQAFAAAAAgAh07iQMyF9eHQAQAAlgMAAA4AAAAAAAAAAQAgAAAAHwEAAGRy&#10;cy9lMm9Eb2MueG1sUEsFBgAAAAAGAAYAWQEAAGEFAAAAAA==&#10;">
              <v:fill on="f" focussize="0,0"/>
              <v:stroke on="f"/>
              <v:imagedata o:title=""/>
              <o:lock v:ext="edit" aspectratio="f"/>
              <v:textbox inset="0mm,0mm,0mm,0mm" style="mso-fit-shape-to-text:t;">
                <w:txbxContent>
                  <w:p>
                    <w:pPr>
                      <w:pStyle w:val="25"/>
                      <w:jc w:val="cente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14"/>
              <wp:cNvGraphicFramePr/>
              <a:graphic xmlns:a="http://schemas.openxmlformats.org/drawingml/2006/main">
                <a:graphicData uri="http://schemas.microsoft.com/office/word/2010/wordprocessingShape">
                  <wps:wsp>
                    <wps:cNvSpPr/>
                    <wps:spPr>
                      <a:xfrm>
                        <a:off x="0" y="0"/>
                        <a:ext cx="114935" cy="131445"/>
                      </a:xfrm>
                      <a:prstGeom prst="rect">
                        <a:avLst/>
                      </a:prstGeom>
                      <a:noFill/>
                      <a:ln w="9525">
                        <a:noFill/>
                      </a:ln>
                    </wps:spPr>
                    <wps:txbx>
                      <w:txbxContent>
                        <w:p>
                          <w:pPr>
                            <w:pStyle w:val="25"/>
                            <w:jc w:val="center"/>
                          </w:pPr>
                        </w:p>
                      </w:txbxContent>
                    </wps:txbx>
                    <wps:bodyPr wrap="none" lIns="0" tIns="0" rIns="0" bIns="0" upright="1">
                      <a:spAutoFit/>
                    </wps:bodyPr>
                  </wps:wsp>
                </a:graphicData>
              </a:graphic>
            </wp:anchor>
          </w:drawing>
        </mc:Choice>
        <mc:Fallback>
          <w:pict>
            <v:rect id="文本框14"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S/0sLQAAAAAwEAAA8AAAAAAAAAAQAgAAAAIgAAAGRycy9k&#10;b3ducmV2LnhtbFBLAQIUABQAAAAIAIdO4kDerrik0QEAAJYDAAAOAAAAAAAAAAEAIAAAAB8BAABk&#10;cnMvZTJvRG9jLnhtbFBLBQYAAAAABgAGAFkBAABiBQAAAAA=&#10;">
              <v:fill on="f" focussize="0,0"/>
              <v:stroke on="f"/>
              <v:imagedata o:title=""/>
              <o:lock v:ext="edit" aspectratio="f"/>
              <v:textbox inset="0mm,0mm,0mm,0mm" style="mso-fit-shape-to-text:t;">
                <w:txbxContent>
                  <w:p>
                    <w:pPr>
                      <w:pStyle w:val="25"/>
                      <w:jc w:val="cente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353"/>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353"/>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353"/>
        <w:tab w:val="clear" w:pos="4153"/>
      </w:tabs>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33985" cy="153035"/>
              <wp:effectExtent l="0" t="0" r="0" b="0"/>
              <wp:wrapNone/>
              <wp:docPr id="17" name="文本框33"/>
              <wp:cNvGraphicFramePr/>
              <a:graphic xmlns:a="http://schemas.openxmlformats.org/drawingml/2006/main">
                <a:graphicData uri="http://schemas.microsoft.com/office/word/2010/wordprocessingShape">
                  <wps:wsp>
                    <wps:cNvSpPr/>
                    <wps:spPr>
                      <a:xfrm>
                        <a:off x="0" y="0"/>
                        <a:ext cx="133985" cy="15303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b/>
                              <w:bCs/>
                              <w:sz w:val="18"/>
                              <w:lang w:eastAsia="zh-CN"/>
                            </w:rPr>
                            <w:t>24</w:t>
                          </w:r>
                          <w:r>
                            <w:rPr>
                              <w:rFonts w:hint="eastAsia"/>
                              <w:sz w:val="18"/>
                            </w:rPr>
                            <w:fldChar w:fldCharType="end"/>
                          </w:r>
                        </w:p>
                      </w:txbxContent>
                    </wps:txbx>
                    <wps:bodyPr wrap="none" lIns="0" tIns="0" rIns="0" bIns="0" upright="1">
                      <a:spAutoFit/>
                    </wps:bodyPr>
                  </wps:wsp>
                </a:graphicData>
              </a:graphic>
            </wp:anchor>
          </w:drawing>
        </mc:Choice>
        <mc:Fallback>
          <w:pict>
            <v:rect id="文本框33" o:spid="_x0000_s1026" o:spt="1" style="position:absolute;left:0pt;margin-top:0pt;height:12.05pt;width:10.55pt;mso-position-horizontal:center;mso-position-horizontal-relative:margin;mso-wrap-style:none;z-index:25166950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yHxuNEAAAADAQAADwAAAAAAAAABACAAAAAiAAAAZHJz&#10;L2Rvd25yZXYueG1sUEsBAhQAFAAAAAgAh07iQO7dXi/SAQAAlwMAAA4AAAAAAAAAAQAgAAAAIAEA&#10;AGRycy9lMm9Eb2MueG1sUEsFBgAAAAAGAAYAWQEAAGQ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b/>
                        <w:bCs/>
                        <w:sz w:val="18"/>
                        <w:lang w:eastAsia="zh-CN"/>
                      </w:rPr>
                      <w:t>24</w:t>
                    </w:r>
                    <w:r>
                      <w:rPr>
                        <w:rFonts w:hint="eastAsia"/>
                        <w:sz w:val="18"/>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rPr>
        <w:rFonts w:hint="default"/>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132"/>
      </w:rPr>
    </w:pPr>
    <w:r>
      <w:fldChar w:fldCharType="begin"/>
    </w:r>
    <w:r>
      <w:rPr>
        <w:rStyle w:val="132"/>
      </w:rPr>
      <w:instrText xml:space="preserve">PAGE  </w:instrText>
    </w:r>
    <w:r>
      <w:fldChar w:fldCharType="separate"/>
    </w:r>
    <w:r>
      <w:rPr>
        <w:rStyle w:val="132"/>
      </w:rPr>
      <w:t>2</w:t>
    </w:r>
    <w:r>
      <w:fldChar w:fldCharType="end"/>
    </w:r>
  </w:p>
  <w:p>
    <w:pPr>
      <w:pStyle w:val="2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t>2</w:t>
    </w:r>
    <w:r>
      <w:fldChar w:fldCharType="end"/>
    </w:r>
  </w:p>
  <w:p>
    <w:pPr>
      <w:pStyle w:val="2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33985" cy="153035"/>
              <wp:effectExtent l="0" t="0" r="0" b="0"/>
              <wp:wrapNone/>
              <wp:docPr id="9" name="文本框17"/>
              <wp:cNvGraphicFramePr/>
              <a:graphic xmlns:a="http://schemas.openxmlformats.org/drawingml/2006/main">
                <a:graphicData uri="http://schemas.microsoft.com/office/word/2010/wordprocessingShape">
                  <wps:wsp>
                    <wps:cNvSpPr/>
                    <wps:spPr>
                      <a:xfrm>
                        <a:off x="0" y="0"/>
                        <a:ext cx="133985" cy="15303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1"/>
                              <w:lang w:eastAsia="zh-CN"/>
                            </w:rPr>
                            <w:t>39</w:t>
                          </w:r>
                          <w:r>
                            <w:rPr>
                              <w:rFonts w:hint="eastAsia"/>
                              <w:sz w:val="18"/>
                            </w:rPr>
                            <w:fldChar w:fldCharType="end"/>
                          </w:r>
                        </w:p>
                      </w:txbxContent>
                    </wps:txbx>
                    <wps:bodyPr wrap="none" lIns="0" tIns="0" rIns="0" bIns="0" upright="1">
                      <a:spAutoFit/>
                    </wps:bodyPr>
                  </wps:wsp>
                </a:graphicData>
              </a:graphic>
            </wp:anchor>
          </w:drawing>
        </mc:Choice>
        <mc:Fallback>
          <w:pict>
            <v:rect id="文本框17" o:spid="_x0000_s1026" o:spt="1" style="position:absolute;left:0pt;margin-top:0pt;height:12.05pt;width:10.55pt;mso-position-horizontal:center;mso-position-horizontal-relative:margin;mso-wrap-style:none;z-index:251662336;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ch8bjRAAAAAwEAAA8AAAAAAAAAAQAgAAAAIgAAAGRycy9k&#10;b3ducmV2LnhtbFBLAQIUABQAAAAIAIdO4kCyPhv20AEAAJYDAAAOAAAAAAAAAAEAIAAAACABAABk&#10;cnMvZTJvRG9jLnhtbFBLBQYAAAAABgAGAFkBAABi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1"/>
                        <w:lang w:eastAsia="zh-CN"/>
                      </w:rPr>
                      <w:t>39</w:t>
                    </w:r>
                    <w:r>
                      <w:rPr>
                        <w:rFonts w:hint="eastAsia"/>
                        <w:sz w:val="18"/>
                      </w:rPr>
                      <w:fldChar w:fldCharType="end"/>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8"/>
              <wp:cNvGraphicFramePr/>
              <a:graphic xmlns:a="http://schemas.openxmlformats.org/drawingml/2006/main">
                <a:graphicData uri="http://schemas.microsoft.com/office/word/2010/wordprocessingShape">
                  <wps:wsp>
                    <wps:cNvSpPr/>
                    <wps:spPr>
                      <a:xfrm>
                        <a:off x="0" y="0"/>
                        <a:ext cx="114935" cy="131445"/>
                      </a:xfrm>
                      <a:prstGeom prst="rect">
                        <a:avLst/>
                      </a:prstGeom>
                      <a:noFill/>
                      <a:ln w="9525">
                        <a:noFill/>
                      </a:ln>
                    </wps:spPr>
                    <wps:txbx>
                      <w:txbxContent>
                        <w:p>
                          <w:pPr>
                            <w:pStyle w:val="25"/>
                            <w:jc w:val="center"/>
                          </w:pPr>
                        </w:p>
                      </w:txbxContent>
                    </wps:txbx>
                    <wps:bodyPr wrap="none" lIns="0" tIns="0" rIns="0" bIns="0" upright="1">
                      <a:spAutoFit/>
                    </wps:bodyPr>
                  </wps:wsp>
                </a:graphicData>
              </a:graphic>
            </wp:anchor>
          </w:drawing>
        </mc:Choice>
        <mc:Fallback>
          <w:pict>
            <v:rect id="文本框8"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L/SwtAAAAADAQAADwAAAAAAAAABACAAAAAiAAAAZHJzL2Rv&#10;d25yZXYueG1sUEsBAhQAFAAAAAgAh07iQGtthe7QAQAAlQMAAA4AAAAAAAAAAQAgAAAAHwEAAGRy&#10;cy9lMm9Eb2MueG1sUEsFBgAAAAAGAAYAWQEAAGEFAAAAAA==&#10;">
              <v:fill on="f" focussize="0,0"/>
              <v:stroke on="f"/>
              <v:imagedata o:title=""/>
              <o:lock v:ext="edit" aspectratio="f"/>
              <v:textbox inset="0mm,0mm,0mm,0mm" style="mso-fit-shape-to-text:t;">
                <w:txbxContent>
                  <w:p>
                    <w:pPr>
                      <w:pStyle w:val="25"/>
                      <w:jc w:val="center"/>
                    </w:pP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37</w:t>
                    </w:r>
                    <w:r>
                      <w:fldChar w:fldCharType="end"/>
                    </w:r>
                  </w:p>
                </w:txbxContent>
              </v:textbox>
            </v:shape>
          </w:pict>
        </mc:Fallback>
      </mc:AlternateContent>
    </w:r>
  </w:p>
  <w:p>
    <w:pPr>
      <w:pStyle w:val="25"/>
      <w:tabs>
        <w:tab w:val="center" w:pos="4535"/>
        <w:tab w:val="right" w:pos="9070"/>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distribute"/>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distribute"/>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distribute"/>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2F106"/>
    <w:multiLevelType w:val="singleLevel"/>
    <w:tmpl w:val="AF72F106"/>
    <w:lvl w:ilvl="0" w:tentative="0">
      <w:start w:val="1"/>
      <w:numFmt w:val="decimal"/>
      <w:lvlText w:val="%1）"/>
      <w:lvlJc w:val="left"/>
    </w:lvl>
  </w:abstractNum>
  <w:abstractNum w:abstractNumId="1">
    <w:nsid w:val="0000000B"/>
    <w:multiLevelType w:val="multilevel"/>
    <w:tmpl w:val="0000000B"/>
    <w:lvl w:ilvl="0" w:tentative="0">
      <w:start w:val="1"/>
      <w:numFmt w:val="bullet"/>
      <w:pStyle w:val="40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C"/>
    <w:multiLevelType w:val="multilevel"/>
    <w:tmpl w:val="0000000C"/>
    <w:lvl w:ilvl="0" w:tentative="0">
      <w:start w:val="9"/>
      <w:numFmt w:val="decimal"/>
      <w:pStyle w:val="229"/>
      <w:lvlText w:val="%1."/>
      <w:lvlJc w:val="left"/>
      <w:pPr>
        <w:tabs>
          <w:tab w:val="left" w:pos="360"/>
        </w:tabs>
        <w:ind w:left="360" w:hanging="360"/>
      </w:pPr>
      <w:rPr>
        <w:rFonts w:cs="Times New Roman"/>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3">
    <w:nsid w:val="0000000D"/>
    <w:multiLevelType w:val="multilevel"/>
    <w:tmpl w:val="0000000D"/>
    <w:lvl w:ilvl="0" w:tentative="0">
      <w:start w:val="1"/>
      <w:numFmt w:val="decimal"/>
      <w:pStyle w:val="176"/>
      <w:lvlText w:val="（%1）"/>
      <w:lvlJc w:val="left"/>
      <w:pPr>
        <w:ind w:left="1400" w:hanging="720"/>
      </w:pPr>
      <w:rPr>
        <w:rFonts w:hint="default"/>
      </w:rPr>
    </w:lvl>
    <w:lvl w:ilvl="1" w:tentative="0">
      <w:start w:val="1"/>
      <w:numFmt w:val="lowerLetter"/>
      <w:lvlText w:val="%2)"/>
      <w:lvlJc w:val="left"/>
      <w:pPr>
        <w:ind w:left="1520" w:hanging="420"/>
      </w:pPr>
    </w:lvl>
    <w:lvl w:ilvl="2" w:tentative="0">
      <w:start w:val="1"/>
      <w:numFmt w:val="lowerRoman"/>
      <w:lvlText w:val="%3."/>
      <w:lvlJc w:val="right"/>
      <w:pPr>
        <w:ind w:left="1940" w:hanging="420"/>
      </w:pPr>
    </w:lvl>
    <w:lvl w:ilvl="3" w:tentative="0">
      <w:start w:val="1"/>
      <w:numFmt w:val="decimal"/>
      <w:lvlText w:val="%4."/>
      <w:lvlJc w:val="left"/>
      <w:pPr>
        <w:ind w:left="2360" w:hanging="420"/>
      </w:pPr>
    </w:lvl>
    <w:lvl w:ilvl="4" w:tentative="0">
      <w:start w:val="1"/>
      <w:numFmt w:val="lowerLetter"/>
      <w:lvlText w:val="%5)"/>
      <w:lvlJc w:val="left"/>
      <w:pPr>
        <w:ind w:left="2780" w:hanging="420"/>
      </w:pPr>
    </w:lvl>
    <w:lvl w:ilvl="5" w:tentative="0">
      <w:start w:val="1"/>
      <w:numFmt w:val="lowerRoman"/>
      <w:lvlText w:val="%6."/>
      <w:lvlJc w:val="right"/>
      <w:pPr>
        <w:ind w:left="3200" w:hanging="420"/>
      </w:pPr>
    </w:lvl>
    <w:lvl w:ilvl="6" w:tentative="0">
      <w:start w:val="1"/>
      <w:numFmt w:val="decimal"/>
      <w:lvlText w:val="%7."/>
      <w:lvlJc w:val="left"/>
      <w:pPr>
        <w:ind w:left="3620" w:hanging="420"/>
      </w:pPr>
    </w:lvl>
    <w:lvl w:ilvl="7" w:tentative="0">
      <w:start w:val="1"/>
      <w:numFmt w:val="lowerLetter"/>
      <w:lvlText w:val="%8)"/>
      <w:lvlJc w:val="left"/>
      <w:pPr>
        <w:ind w:left="4040" w:hanging="420"/>
      </w:pPr>
    </w:lvl>
    <w:lvl w:ilvl="8" w:tentative="0">
      <w:start w:val="1"/>
      <w:numFmt w:val="lowerRoman"/>
      <w:lvlText w:val="%9."/>
      <w:lvlJc w:val="right"/>
      <w:pPr>
        <w:ind w:left="4460" w:hanging="420"/>
      </w:pPr>
    </w:lvl>
  </w:abstractNum>
  <w:abstractNum w:abstractNumId="4">
    <w:nsid w:val="0000000F"/>
    <w:multiLevelType w:val="multilevel"/>
    <w:tmpl w:val="0000000F"/>
    <w:lvl w:ilvl="0" w:tentative="0">
      <w:start w:val="1"/>
      <w:numFmt w:val="decimal"/>
      <w:pStyle w:val="288"/>
      <w:lvlText w:val="%1."/>
      <w:lvlJc w:val="left"/>
      <w:pPr>
        <w:tabs>
          <w:tab w:val="left" w:pos="420"/>
        </w:tabs>
        <w:ind w:left="420" w:hanging="420"/>
      </w:pPr>
      <w:rPr>
        <w:rFonts w:hint="eastAsia"/>
      </w:rPr>
    </w:lvl>
    <w:lvl w:ilvl="1" w:tentative="0">
      <w:start w:val="1"/>
      <w:numFmt w:val="decimal"/>
      <w:lvlText w:val="1.%2"/>
      <w:lvlJc w:val="left"/>
      <w:pPr>
        <w:tabs>
          <w:tab w:val="left" w:pos="840"/>
        </w:tabs>
        <w:ind w:left="840" w:hanging="420"/>
      </w:pPr>
      <w:rPr>
        <w:rFonts w:hint="eastAsia"/>
        <w:color w:val="auto"/>
      </w:rPr>
    </w:lvl>
    <w:lvl w:ilvl="2" w:tentative="0">
      <w:start w:val="1"/>
      <w:numFmt w:val="decimal"/>
      <w:lvlText w:val="2.%3"/>
      <w:lvlJc w:val="left"/>
      <w:pPr>
        <w:tabs>
          <w:tab w:val="left" w:pos="1260"/>
        </w:tabs>
        <w:ind w:left="1260" w:hanging="420"/>
      </w:pPr>
      <w:rPr>
        <w:rFonts w:hint="eastAsia"/>
        <w:color w:val="auto"/>
        <w:sz w:val="24"/>
        <w:szCs w:val="24"/>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1"/>
    <w:multiLevelType w:val="multilevel"/>
    <w:tmpl w:val="00000011"/>
    <w:lvl w:ilvl="0" w:tentative="0">
      <w:start w:val="1"/>
      <w:numFmt w:val="decimal"/>
      <w:pStyle w:val="65"/>
      <w:lvlText w:val="%1"/>
      <w:lvlJc w:val="left"/>
      <w:pPr>
        <w:tabs>
          <w:tab w:val="left" w:pos="390"/>
        </w:tabs>
        <w:ind w:left="390" w:hanging="390"/>
      </w:pPr>
      <w:rPr>
        <w:rFonts w:cs="Times New Roman"/>
      </w:rPr>
    </w:lvl>
    <w:lvl w:ilvl="1" w:tentative="0">
      <w:start w:val="1"/>
      <w:numFmt w:val="decimal"/>
      <w:lvlText w:val="%1.%2"/>
      <w:lvlJc w:val="left"/>
      <w:pPr>
        <w:tabs>
          <w:tab w:val="left" w:pos="390"/>
        </w:tabs>
        <w:ind w:left="390" w:hanging="390"/>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720"/>
        </w:tabs>
        <w:ind w:left="720" w:hanging="720"/>
      </w:pPr>
      <w:rPr>
        <w:rFonts w:cs="Times New Roman"/>
      </w:rPr>
    </w:lvl>
    <w:lvl w:ilvl="4" w:tentative="0">
      <w:start w:val="1"/>
      <w:numFmt w:val="decimal"/>
      <w:lvlText w:val="%1.%2.%3.%4.%5"/>
      <w:lvlJc w:val="left"/>
      <w:pPr>
        <w:tabs>
          <w:tab w:val="left" w:pos="1080"/>
        </w:tabs>
        <w:ind w:left="1080" w:hanging="1080"/>
      </w:pPr>
      <w:rPr>
        <w:rFonts w:cs="Times New Roman"/>
      </w:rPr>
    </w:lvl>
    <w:lvl w:ilvl="5" w:tentative="0">
      <w:start w:val="1"/>
      <w:numFmt w:val="decimal"/>
      <w:lvlText w:val="%1.%2.%3.%4.%5.%6"/>
      <w:lvlJc w:val="left"/>
      <w:pPr>
        <w:tabs>
          <w:tab w:val="left" w:pos="1080"/>
        </w:tabs>
        <w:ind w:left="1080" w:hanging="1080"/>
      </w:pPr>
      <w:rPr>
        <w:rFonts w:cs="Times New Roman"/>
      </w:rPr>
    </w:lvl>
    <w:lvl w:ilvl="6" w:tentative="0">
      <w:start w:val="1"/>
      <w:numFmt w:val="decimal"/>
      <w:lvlText w:val="%1.%2.%3.%4.%5.%6.%7"/>
      <w:lvlJc w:val="left"/>
      <w:pPr>
        <w:tabs>
          <w:tab w:val="left" w:pos="1080"/>
        </w:tabs>
        <w:ind w:left="1080" w:hanging="1080"/>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440"/>
        </w:tabs>
        <w:ind w:left="1440" w:hanging="1440"/>
      </w:pPr>
      <w:rPr>
        <w:rFonts w:cs="Times New Roman"/>
      </w:rPr>
    </w:lvl>
  </w:abstractNum>
  <w:abstractNum w:abstractNumId="6">
    <w:nsid w:val="00000012"/>
    <w:multiLevelType w:val="singleLevel"/>
    <w:tmpl w:val="00000012"/>
    <w:lvl w:ilvl="0" w:tentative="0">
      <w:start w:val="1"/>
      <w:numFmt w:val="decimal"/>
      <w:pStyle w:val="379"/>
      <w:lvlText w:val="%1."/>
      <w:lvlJc w:val="left"/>
      <w:pPr>
        <w:tabs>
          <w:tab w:val="left" w:pos="1620"/>
        </w:tabs>
        <w:ind w:left="1620" w:hanging="360"/>
      </w:pPr>
    </w:lvl>
  </w:abstractNum>
  <w:abstractNum w:abstractNumId="7">
    <w:nsid w:val="00000013"/>
    <w:multiLevelType w:val="singleLevel"/>
    <w:tmpl w:val="00000013"/>
    <w:lvl w:ilvl="0" w:tentative="0">
      <w:start w:val="1"/>
      <w:numFmt w:val="decimal"/>
      <w:pStyle w:val="275"/>
      <w:lvlText w:val="%1."/>
      <w:lvlJc w:val="left"/>
      <w:pPr>
        <w:tabs>
          <w:tab w:val="left" w:pos="1200"/>
        </w:tabs>
        <w:ind w:left="1200" w:hanging="360"/>
      </w:pPr>
    </w:lvl>
  </w:abstractNum>
  <w:abstractNum w:abstractNumId="8">
    <w:nsid w:val="00000014"/>
    <w:multiLevelType w:val="multilevel"/>
    <w:tmpl w:val="00000014"/>
    <w:lvl w:ilvl="0" w:tentative="0">
      <w:start w:val="1"/>
      <w:numFmt w:val="bullet"/>
      <w:pStyle w:val="25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9">
    <w:nsid w:val="00000016"/>
    <w:multiLevelType w:val="multilevel"/>
    <w:tmpl w:val="00000016"/>
    <w:lvl w:ilvl="0" w:tentative="0">
      <w:start w:val="1"/>
      <w:numFmt w:val="decimal"/>
      <w:pStyle w:val="253"/>
      <w:lvlText w:val="表格%1."/>
      <w:lvlJc w:val="left"/>
      <w:pPr>
        <w:tabs>
          <w:tab w:val="left" w:pos="108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7"/>
    <w:multiLevelType w:val="multilevel"/>
    <w:tmpl w:val="00000017"/>
    <w:lvl w:ilvl="0" w:tentative="0">
      <w:start w:val="1"/>
      <w:numFmt w:val="decimal"/>
      <w:pStyle w:val="114"/>
      <w:lvlText w:val="%1."/>
      <w:lvlJc w:val="left"/>
      <w:pPr>
        <w:tabs>
          <w:tab w:val="left" w:pos="360"/>
        </w:tabs>
        <w:ind w:left="360" w:hanging="360"/>
      </w:pPr>
    </w:lvl>
    <w:lvl w:ilvl="1" w:tentative="0">
      <w:start w:val="1"/>
      <w:numFmt w:val="decimal"/>
      <w:lvlText w:val="%2)"/>
      <w:lvlJc w:val="left"/>
      <w:pPr>
        <w:tabs>
          <w:tab w:val="left" w:pos="840"/>
        </w:tabs>
        <w:ind w:left="840" w:hanging="420"/>
      </w:pPr>
    </w:lvl>
    <w:lvl w:ilvl="2" w:tentative="0">
      <w:start w:val="1"/>
      <w:numFmt w:val="decimal"/>
      <w:lvlText w:val="3.%3"/>
      <w:lvlJc w:val="left"/>
      <w:pPr>
        <w:tabs>
          <w:tab w:val="left" w:pos="0"/>
        </w:tabs>
        <w:ind w:left="454" w:hanging="454"/>
      </w:pPr>
    </w:lvl>
    <w:lvl w:ilvl="3" w:tentative="0">
      <w:start w:val="1"/>
      <w:numFmt w:val="decimal"/>
      <w:lvlText w:val="%4)"/>
      <w:lvlJc w:val="left"/>
      <w:pPr>
        <w:tabs>
          <w:tab w:val="left" w:pos="1785"/>
        </w:tabs>
        <w:ind w:left="1785" w:hanging="420"/>
      </w:pPr>
    </w:lvl>
    <w:lvl w:ilvl="4" w:tentative="0">
      <w:start w:val="1"/>
      <w:numFmt w:val="decimal"/>
      <w:lvlText w:val="%5）"/>
      <w:lvlJc w:val="left"/>
      <w:pPr>
        <w:tabs>
          <w:tab w:val="left" w:pos="2400"/>
        </w:tabs>
        <w:ind w:left="2400" w:hanging="7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8"/>
    <w:multiLevelType w:val="multilevel"/>
    <w:tmpl w:val="00000018"/>
    <w:lvl w:ilvl="0" w:tentative="0">
      <w:start w:val="1"/>
      <w:numFmt w:val="bullet"/>
      <w:pStyle w:val="389"/>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2">
    <w:nsid w:val="00000019"/>
    <w:multiLevelType w:val="multilevel"/>
    <w:tmpl w:val="00000019"/>
    <w:lvl w:ilvl="0" w:tentative="0">
      <w:start w:val="1"/>
      <w:numFmt w:val="decimal"/>
      <w:pStyle w:val="334"/>
      <w:lvlText w:val="表格 %1."/>
      <w:lvlJc w:val="left"/>
      <w:pPr>
        <w:tabs>
          <w:tab w:val="left" w:pos="144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0000001A"/>
    <w:multiLevelType w:val="multilevel"/>
    <w:tmpl w:val="0000001A"/>
    <w:lvl w:ilvl="0" w:tentative="0">
      <w:start w:val="1"/>
      <w:numFmt w:val="lowerLetter"/>
      <w:pStyle w:val="246"/>
      <w:lvlText w:val="(%1)"/>
      <w:lvlJc w:val="left"/>
      <w:pPr>
        <w:tabs>
          <w:tab w:val="left" w:pos="795"/>
        </w:tabs>
        <w:ind w:left="795" w:hanging="37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B"/>
    <w:multiLevelType w:val="multilevel"/>
    <w:tmpl w:val="0000001B"/>
    <w:lvl w:ilvl="0" w:tentative="0">
      <w:start w:val="1"/>
      <w:numFmt w:val="bullet"/>
      <w:pStyle w:val="265"/>
      <w:lvlText w:val=""/>
      <w:lvlJc w:val="left"/>
      <w:pPr>
        <w:tabs>
          <w:tab w:val="left" w:pos="1440"/>
        </w:tabs>
        <w:ind w:left="1440" w:hanging="360"/>
      </w:pPr>
      <w:rPr>
        <w:rFonts w:hint="default" w:ascii="Symbol" w:hAnsi="Symbol"/>
      </w:rPr>
    </w:lvl>
    <w:lvl w:ilvl="1" w:tentative="0">
      <w:start w:val="1"/>
      <w:numFmt w:val="decimal"/>
      <w:pStyle w:val="428"/>
      <w:lvlText w:val="%2."/>
      <w:lvlJc w:val="left"/>
      <w:pPr>
        <w:tabs>
          <w:tab w:val="left" w:pos="2160"/>
        </w:tabs>
        <w:ind w:left="2160" w:hanging="360"/>
      </w:pPr>
      <w:rPr>
        <w:rFonts w:hint="default"/>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15">
    <w:nsid w:val="0000001D"/>
    <w:multiLevelType w:val="multilevel"/>
    <w:tmpl w:val="0000001D"/>
    <w:lvl w:ilvl="0" w:tentative="0">
      <w:start w:val="1"/>
      <w:numFmt w:val="bullet"/>
      <w:pStyle w:val="316"/>
      <w:lvlText w:val=""/>
      <w:lvlJc w:val="left"/>
      <w:pPr>
        <w:ind w:left="540" w:hanging="420"/>
      </w:pPr>
      <w:rPr>
        <w:rFonts w:hint="default" w:ascii="Wingdings" w:hAnsi="Wingdings"/>
      </w:rPr>
    </w:lvl>
    <w:lvl w:ilvl="1" w:tentative="0">
      <w:start w:val="1"/>
      <w:numFmt w:val="bullet"/>
      <w:lvlText w:val=""/>
      <w:lvlJc w:val="left"/>
      <w:pPr>
        <w:ind w:left="960" w:hanging="420"/>
      </w:pPr>
      <w:rPr>
        <w:rFonts w:hint="default" w:ascii="Wingdings" w:hAnsi="Wingdings"/>
      </w:rPr>
    </w:lvl>
    <w:lvl w:ilvl="2" w:tentative="0">
      <w:start w:val="1"/>
      <w:numFmt w:val="bullet"/>
      <w:lvlText w:val=""/>
      <w:lvlJc w:val="left"/>
      <w:pPr>
        <w:ind w:left="1380" w:hanging="420"/>
      </w:pPr>
      <w:rPr>
        <w:rFonts w:hint="default" w:ascii="Wingdings" w:hAnsi="Wingdings"/>
      </w:rPr>
    </w:lvl>
    <w:lvl w:ilvl="3" w:tentative="0">
      <w:start w:val="1"/>
      <w:numFmt w:val="bullet"/>
      <w:lvlText w:val=""/>
      <w:lvlJc w:val="left"/>
      <w:pPr>
        <w:ind w:left="1800" w:hanging="420"/>
      </w:pPr>
      <w:rPr>
        <w:rFonts w:hint="default" w:ascii="Wingdings" w:hAnsi="Wingdings"/>
      </w:rPr>
    </w:lvl>
    <w:lvl w:ilvl="4" w:tentative="0">
      <w:start w:val="1"/>
      <w:numFmt w:val="bullet"/>
      <w:lvlText w:val=""/>
      <w:lvlJc w:val="left"/>
      <w:pPr>
        <w:ind w:left="2220" w:hanging="420"/>
      </w:pPr>
      <w:rPr>
        <w:rFonts w:hint="default" w:ascii="Wingdings" w:hAnsi="Wingdings"/>
      </w:rPr>
    </w:lvl>
    <w:lvl w:ilvl="5" w:tentative="0">
      <w:start w:val="1"/>
      <w:numFmt w:val="bullet"/>
      <w:lvlText w:val=""/>
      <w:lvlJc w:val="left"/>
      <w:pPr>
        <w:ind w:left="2640" w:hanging="420"/>
      </w:pPr>
      <w:rPr>
        <w:rFonts w:hint="default" w:ascii="Wingdings" w:hAnsi="Wingdings"/>
      </w:rPr>
    </w:lvl>
    <w:lvl w:ilvl="6" w:tentative="0">
      <w:start w:val="1"/>
      <w:numFmt w:val="bullet"/>
      <w:lvlText w:val=""/>
      <w:lvlJc w:val="left"/>
      <w:pPr>
        <w:ind w:left="3060" w:hanging="420"/>
      </w:pPr>
      <w:rPr>
        <w:rFonts w:hint="default" w:ascii="Wingdings" w:hAnsi="Wingdings"/>
      </w:rPr>
    </w:lvl>
    <w:lvl w:ilvl="7" w:tentative="0">
      <w:start w:val="1"/>
      <w:numFmt w:val="bullet"/>
      <w:lvlText w:val=""/>
      <w:lvlJc w:val="left"/>
      <w:pPr>
        <w:ind w:left="3480" w:hanging="420"/>
      </w:pPr>
      <w:rPr>
        <w:rFonts w:hint="default" w:ascii="Wingdings" w:hAnsi="Wingdings"/>
      </w:rPr>
    </w:lvl>
    <w:lvl w:ilvl="8" w:tentative="0">
      <w:start w:val="1"/>
      <w:numFmt w:val="bullet"/>
      <w:lvlText w:val=""/>
      <w:lvlJc w:val="left"/>
      <w:pPr>
        <w:ind w:left="3900" w:hanging="420"/>
      </w:pPr>
      <w:rPr>
        <w:rFonts w:hint="default" w:ascii="Wingdings" w:hAnsi="Wingdings"/>
      </w:rPr>
    </w:lvl>
  </w:abstractNum>
  <w:abstractNum w:abstractNumId="16">
    <w:nsid w:val="0000001E"/>
    <w:multiLevelType w:val="multilevel"/>
    <w:tmpl w:val="0000001E"/>
    <w:lvl w:ilvl="0" w:tentative="0">
      <w:start w:val="5"/>
      <w:numFmt w:val="decimal"/>
      <w:pStyle w:val="386"/>
      <w:lvlText w:val="%1）"/>
      <w:lvlJc w:val="left"/>
      <w:pPr>
        <w:ind w:left="1036" w:hanging="360"/>
      </w:pPr>
      <w:rPr>
        <w:rFonts w:hint="default"/>
      </w:rPr>
    </w:lvl>
    <w:lvl w:ilvl="1" w:tentative="0">
      <w:start w:val="1"/>
      <w:numFmt w:val="lowerLetter"/>
      <w:lvlText w:val="%2)"/>
      <w:lvlJc w:val="left"/>
      <w:pPr>
        <w:ind w:left="1516" w:hanging="420"/>
      </w:pPr>
    </w:lvl>
    <w:lvl w:ilvl="2" w:tentative="0">
      <w:start w:val="1"/>
      <w:numFmt w:val="lowerRoman"/>
      <w:lvlText w:val="%3."/>
      <w:lvlJc w:val="right"/>
      <w:pPr>
        <w:ind w:left="1936" w:hanging="420"/>
      </w:pPr>
    </w:lvl>
    <w:lvl w:ilvl="3" w:tentative="0">
      <w:start w:val="1"/>
      <w:numFmt w:val="decimal"/>
      <w:lvlText w:val="%4."/>
      <w:lvlJc w:val="left"/>
      <w:pPr>
        <w:ind w:left="2356" w:hanging="420"/>
      </w:pPr>
    </w:lvl>
    <w:lvl w:ilvl="4" w:tentative="0">
      <w:start w:val="1"/>
      <w:numFmt w:val="lowerLetter"/>
      <w:lvlText w:val="%5)"/>
      <w:lvlJc w:val="left"/>
      <w:pPr>
        <w:ind w:left="2776" w:hanging="420"/>
      </w:pPr>
    </w:lvl>
    <w:lvl w:ilvl="5" w:tentative="0">
      <w:start w:val="1"/>
      <w:numFmt w:val="lowerRoman"/>
      <w:lvlText w:val="%6."/>
      <w:lvlJc w:val="right"/>
      <w:pPr>
        <w:ind w:left="3196" w:hanging="420"/>
      </w:pPr>
    </w:lvl>
    <w:lvl w:ilvl="6" w:tentative="0">
      <w:start w:val="1"/>
      <w:numFmt w:val="decimal"/>
      <w:lvlText w:val="%7."/>
      <w:lvlJc w:val="left"/>
      <w:pPr>
        <w:ind w:left="3616" w:hanging="420"/>
      </w:pPr>
    </w:lvl>
    <w:lvl w:ilvl="7" w:tentative="0">
      <w:start w:val="1"/>
      <w:numFmt w:val="lowerLetter"/>
      <w:lvlText w:val="%8)"/>
      <w:lvlJc w:val="left"/>
      <w:pPr>
        <w:ind w:left="4036" w:hanging="420"/>
      </w:pPr>
    </w:lvl>
    <w:lvl w:ilvl="8" w:tentative="0">
      <w:start w:val="1"/>
      <w:numFmt w:val="lowerRoman"/>
      <w:lvlText w:val="%9."/>
      <w:lvlJc w:val="right"/>
      <w:pPr>
        <w:ind w:left="4456" w:hanging="420"/>
      </w:pPr>
    </w:lvl>
  </w:abstractNum>
  <w:abstractNum w:abstractNumId="17">
    <w:nsid w:val="0000001F"/>
    <w:multiLevelType w:val="singleLevel"/>
    <w:tmpl w:val="0000001F"/>
    <w:lvl w:ilvl="0" w:tentative="0">
      <w:start w:val="1"/>
      <w:numFmt w:val="decimal"/>
      <w:pStyle w:val="373"/>
      <w:lvlText w:val="%1."/>
      <w:lvlJc w:val="left"/>
      <w:pPr>
        <w:tabs>
          <w:tab w:val="left" w:pos="2040"/>
        </w:tabs>
        <w:ind w:left="2040" w:hanging="360"/>
      </w:pPr>
    </w:lvl>
  </w:abstractNum>
  <w:abstractNum w:abstractNumId="18">
    <w:nsid w:val="00000020"/>
    <w:multiLevelType w:val="multilevel"/>
    <w:tmpl w:val="00000020"/>
    <w:lvl w:ilvl="0" w:tentative="0">
      <w:start w:val="1"/>
      <w:numFmt w:val="decimal"/>
      <w:lvlText w:val="%1"/>
      <w:lvlJc w:val="left"/>
      <w:pPr>
        <w:tabs>
          <w:tab w:val="left" w:pos="432"/>
        </w:tabs>
        <w:ind w:left="432" w:hanging="432"/>
      </w:pPr>
      <w:rPr>
        <w:rFonts w:hint="eastAsia"/>
      </w:rPr>
    </w:lvl>
    <w:lvl w:ilvl="1" w:tentative="0">
      <w:start w:val="1"/>
      <w:numFmt w:val="decimal"/>
      <w:pStyle w:val="186"/>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9">
    <w:nsid w:val="00000022"/>
    <w:multiLevelType w:val="multilevel"/>
    <w:tmpl w:val="00000022"/>
    <w:lvl w:ilvl="0" w:tentative="0">
      <w:start w:val="1"/>
      <w:numFmt w:val="decimal"/>
      <w:lvlText w:val="%1)"/>
      <w:lvlJc w:val="left"/>
      <w:pPr>
        <w:tabs>
          <w:tab w:val="left" w:pos="900"/>
        </w:tabs>
        <w:ind w:left="900" w:hanging="420"/>
      </w:pPr>
    </w:lvl>
    <w:lvl w:ilvl="1" w:tentative="0">
      <w:start w:val="1"/>
      <w:numFmt w:val="bullet"/>
      <w:pStyle w:val="217"/>
      <w:lvlText w:val=""/>
      <w:lvlJc w:val="left"/>
      <w:pPr>
        <w:tabs>
          <w:tab w:val="left" w:pos="900"/>
        </w:tabs>
        <w:ind w:left="900" w:hanging="420"/>
      </w:pPr>
      <w:rPr>
        <w:rFonts w:hint="default" w:ascii="Wingdings" w:hAnsi="Wingdings"/>
      </w:rPr>
    </w:lvl>
    <w:lvl w:ilvl="2" w:tentative="0">
      <w:start w:val="1"/>
      <w:numFmt w:val="lowerRoman"/>
      <w:lvlText w:val="%3."/>
      <w:lvlJc w:val="right"/>
      <w:pPr>
        <w:tabs>
          <w:tab w:val="left" w:pos="1320"/>
        </w:tabs>
        <w:ind w:left="1320" w:hanging="420"/>
      </w:pPr>
    </w:lvl>
    <w:lvl w:ilvl="3" w:tentative="0">
      <w:start w:val="1"/>
      <w:numFmt w:val="decimal"/>
      <w:lvlText w:val="%4."/>
      <w:lvlJc w:val="left"/>
      <w:pPr>
        <w:tabs>
          <w:tab w:val="left" w:pos="1740"/>
        </w:tabs>
        <w:ind w:left="1740" w:hanging="420"/>
      </w:pPr>
    </w:lvl>
    <w:lvl w:ilvl="4" w:tentative="0">
      <w:start w:val="1"/>
      <w:numFmt w:val="lowerLetter"/>
      <w:lvlText w:val="%5)"/>
      <w:lvlJc w:val="left"/>
      <w:pPr>
        <w:tabs>
          <w:tab w:val="left" w:pos="2160"/>
        </w:tabs>
        <w:ind w:left="2160" w:hanging="420"/>
      </w:pPr>
    </w:lvl>
    <w:lvl w:ilvl="5" w:tentative="0">
      <w:start w:val="1"/>
      <w:numFmt w:val="lowerRoman"/>
      <w:lvlText w:val="%6."/>
      <w:lvlJc w:val="right"/>
      <w:pPr>
        <w:tabs>
          <w:tab w:val="left" w:pos="2580"/>
        </w:tabs>
        <w:ind w:left="2580" w:hanging="420"/>
      </w:pPr>
    </w:lvl>
    <w:lvl w:ilvl="6" w:tentative="0">
      <w:start w:val="1"/>
      <w:numFmt w:val="decimal"/>
      <w:lvlText w:val="%7."/>
      <w:lvlJc w:val="left"/>
      <w:pPr>
        <w:tabs>
          <w:tab w:val="left" w:pos="3000"/>
        </w:tabs>
        <w:ind w:left="3000" w:hanging="420"/>
      </w:pPr>
    </w:lvl>
    <w:lvl w:ilvl="7" w:tentative="0">
      <w:start w:val="1"/>
      <w:numFmt w:val="lowerLetter"/>
      <w:lvlText w:val="%8)"/>
      <w:lvlJc w:val="left"/>
      <w:pPr>
        <w:tabs>
          <w:tab w:val="left" w:pos="3420"/>
        </w:tabs>
        <w:ind w:left="3420" w:hanging="420"/>
      </w:pPr>
    </w:lvl>
    <w:lvl w:ilvl="8" w:tentative="0">
      <w:start w:val="1"/>
      <w:numFmt w:val="lowerRoman"/>
      <w:lvlText w:val="%9."/>
      <w:lvlJc w:val="right"/>
      <w:pPr>
        <w:tabs>
          <w:tab w:val="left" w:pos="3840"/>
        </w:tabs>
        <w:ind w:left="3840" w:hanging="420"/>
      </w:pPr>
    </w:lvl>
  </w:abstractNum>
  <w:abstractNum w:abstractNumId="20">
    <w:nsid w:val="00000023"/>
    <w:multiLevelType w:val="multilevel"/>
    <w:tmpl w:val="00000023"/>
    <w:lvl w:ilvl="0" w:tentative="0">
      <w:start w:val="1"/>
      <w:numFmt w:val="decimal"/>
      <w:pStyle w:val="339"/>
      <w:lvlText w:val="%1."/>
      <w:lvlJc w:val="left"/>
      <w:pPr>
        <w:tabs>
          <w:tab w:val="left" w:pos="840"/>
        </w:tabs>
        <w:ind w:left="840" w:hanging="420"/>
      </w:p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1">
    <w:nsid w:val="00000025"/>
    <w:multiLevelType w:val="singleLevel"/>
    <w:tmpl w:val="00000025"/>
    <w:lvl w:ilvl="0" w:tentative="0">
      <w:start w:val="1"/>
      <w:numFmt w:val="decimal"/>
      <w:pStyle w:val="378"/>
      <w:lvlText w:val="%1."/>
      <w:lvlJc w:val="left"/>
      <w:pPr>
        <w:tabs>
          <w:tab w:val="left" w:pos="780"/>
        </w:tabs>
        <w:ind w:left="780" w:hanging="360"/>
      </w:pPr>
    </w:lvl>
  </w:abstractNum>
  <w:abstractNum w:abstractNumId="22">
    <w:nsid w:val="00000027"/>
    <w:multiLevelType w:val="multilevel"/>
    <w:tmpl w:val="00000027"/>
    <w:lvl w:ilvl="0" w:tentative="0">
      <w:start w:val="1"/>
      <w:numFmt w:val="bullet"/>
      <w:pStyle w:val="73"/>
      <w:lvlText w:val=""/>
      <w:lvlJc w:val="left"/>
      <w:pPr>
        <w:tabs>
          <w:tab w:val="left" w:pos="960"/>
        </w:tabs>
        <w:ind w:left="960" w:hanging="420"/>
      </w:pPr>
      <w:rPr>
        <w:rFonts w:hint="default" w:ascii="Wingdings" w:hAnsi="Wingdings"/>
      </w:rPr>
    </w:lvl>
    <w:lvl w:ilvl="1" w:tentative="0">
      <w:start w:val="1"/>
      <w:numFmt w:val="decimal"/>
      <w:lvlText w:val="(%2)"/>
      <w:lvlJc w:val="left"/>
      <w:pPr>
        <w:tabs>
          <w:tab w:val="left" w:pos="1440"/>
        </w:tabs>
        <w:ind w:left="1440" w:hanging="480"/>
      </w:pPr>
      <w:rPr>
        <w:rFonts w:hint="eastAsia"/>
      </w:rPr>
    </w:lvl>
    <w:lvl w:ilvl="2" w:tentative="0">
      <w:start w:val="1"/>
      <w:numFmt w:val="decimal"/>
      <w:lvlText w:val="（%3）"/>
      <w:lvlJc w:val="left"/>
      <w:pPr>
        <w:tabs>
          <w:tab w:val="left" w:pos="2100"/>
        </w:tabs>
        <w:ind w:left="2100" w:hanging="720"/>
      </w:pPr>
      <w:rPr>
        <w:rFonts w:hint="default"/>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3">
    <w:nsid w:val="00000028"/>
    <w:multiLevelType w:val="multilevel"/>
    <w:tmpl w:val="00000028"/>
    <w:lvl w:ilvl="0" w:tentative="0">
      <w:start w:val="12"/>
      <w:numFmt w:val="decimal"/>
      <w:lvlText w:val="%1."/>
      <w:lvlJc w:val="left"/>
      <w:pPr>
        <w:tabs>
          <w:tab w:val="left" w:pos="1785"/>
        </w:tabs>
        <w:ind w:left="1785" w:hanging="178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2B"/>
    <w:multiLevelType w:val="multilevel"/>
    <w:tmpl w:val="0000002B"/>
    <w:lvl w:ilvl="0" w:tentative="0">
      <w:start w:val="1"/>
      <w:numFmt w:val="bullet"/>
      <w:pStyle w:val="23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5">
    <w:nsid w:val="0000002C"/>
    <w:multiLevelType w:val="multilevel"/>
    <w:tmpl w:val="0000002C"/>
    <w:lvl w:ilvl="0" w:tentative="0">
      <w:start w:val="1"/>
      <w:numFmt w:val="bullet"/>
      <w:pStyle w:val="392"/>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2D"/>
    <w:multiLevelType w:val="multilevel"/>
    <w:tmpl w:val="0000002D"/>
    <w:lvl w:ilvl="0" w:tentative="0">
      <w:start w:val="1"/>
      <w:numFmt w:val="decimal"/>
      <w:pStyle w:val="225"/>
      <w:lvlText w:val="%1)"/>
      <w:lvlJc w:val="left"/>
      <w:pPr>
        <w:ind w:left="525" w:hanging="420"/>
      </w:p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27">
    <w:nsid w:val="00000030"/>
    <w:multiLevelType w:val="multilevel"/>
    <w:tmpl w:val="00000030"/>
    <w:lvl w:ilvl="0" w:tentative="0">
      <w:start w:val="1"/>
      <w:numFmt w:val="decimal"/>
      <w:pStyle w:val="301"/>
      <w:lvlText w:val="2.%1"/>
      <w:lvlJc w:val="left"/>
      <w:pPr>
        <w:tabs>
          <w:tab w:val="left" w:pos="420"/>
        </w:tabs>
        <w:ind w:left="420" w:hanging="420"/>
      </w:pPr>
      <w:rPr>
        <w:rFonts w:hint="eastAsia"/>
        <w:color w:val="auto"/>
        <w:sz w:val="24"/>
        <w:szCs w:val="24"/>
      </w:rPr>
    </w:lvl>
    <w:lvl w:ilvl="1" w:tentative="0">
      <w:start w:val="1"/>
      <w:numFmt w:val="japaneseCounting"/>
      <w:lvlText w:val="%2、"/>
      <w:lvlJc w:val="left"/>
      <w:pPr>
        <w:tabs>
          <w:tab w:val="left" w:pos="840"/>
        </w:tabs>
        <w:ind w:left="840" w:hanging="42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00000031"/>
    <w:multiLevelType w:val="multilevel"/>
    <w:tmpl w:val="00000031"/>
    <w:lvl w:ilvl="0" w:tentative="0">
      <w:start w:val="1"/>
      <w:numFmt w:val="bullet"/>
      <w:pStyle w:val="193"/>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29">
    <w:nsid w:val="00000032"/>
    <w:multiLevelType w:val="singleLevel"/>
    <w:tmpl w:val="00000032"/>
    <w:lvl w:ilvl="0" w:tentative="0">
      <w:start w:val="1"/>
      <w:numFmt w:val="bullet"/>
      <w:pStyle w:val="172"/>
      <w:lvlText w:val=""/>
      <w:lvlJc w:val="left"/>
      <w:pPr>
        <w:tabs>
          <w:tab w:val="left" w:pos="792"/>
        </w:tabs>
        <w:ind w:left="792" w:hanging="360"/>
      </w:pPr>
      <w:rPr>
        <w:rFonts w:hint="default" w:ascii="Symbol" w:hAnsi="Symbol"/>
        <w:b w:val="0"/>
        <w:i w:val="0"/>
        <w:sz w:val="24"/>
      </w:rPr>
    </w:lvl>
  </w:abstractNum>
  <w:abstractNum w:abstractNumId="30">
    <w:nsid w:val="32621CDD"/>
    <w:multiLevelType w:val="singleLevel"/>
    <w:tmpl w:val="32621CDD"/>
    <w:lvl w:ilvl="0" w:tentative="0">
      <w:start w:val="1"/>
      <w:numFmt w:val="decimal"/>
      <w:lvlText w:val="%1."/>
      <w:lvlJc w:val="left"/>
      <w:pPr>
        <w:tabs>
          <w:tab w:val="left" w:pos="312"/>
        </w:tabs>
      </w:pPr>
    </w:lvl>
  </w:abstractNum>
  <w:abstractNum w:abstractNumId="31">
    <w:nsid w:val="5A24EC26"/>
    <w:multiLevelType w:val="singleLevel"/>
    <w:tmpl w:val="5A24EC26"/>
    <w:lvl w:ilvl="0" w:tentative="0">
      <w:start w:val="2"/>
      <w:numFmt w:val="chineseCounting"/>
      <w:suff w:val="nothing"/>
      <w:lvlText w:val="%1、"/>
      <w:lvlJc w:val="left"/>
    </w:lvl>
  </w:abstractNum>
  <w:abstractNum w:abstractNumId="32">
    <w:nsid w:val="6D9DDDCB"/>
    <w:multiLevelType w:val="singleLevel"/>
    <w:tmpl w:val="6D9DDDCB"/>
    <w:lvl w:ilvl="0" w:tentative="0">
      <w:start w:val="3"/>
      <w:numFmt w:val="chineseCounting"/>
      <w:suff w:val="nothing"/>
      <w:lvlText w:val="（%1）"/>
      <w:lvlJc w:val="left"/>
      <w:rPr>
        <w:rFonts w:hint="eastAsia"/>
      </w:rPr>
    </w:lvl>
  </w:abstractNum>
  <w:abstractNum w:abstractNumId="33">
    <w:nsid w:val="7EF4BBFF"/>
    <w:multiLevelType w:val="singleLevel"/>
    <w:tmpl w:val="7EF4BBFF"/>
    <w:lvl w:ilvl="0" w:tentative="0">
      <w:start w:val="2"/>
      <w:numFmt w:val="decimal"/>
      <w:suff w:val="space"/>
      <w:lvlText w:val="%1."/>
      <w:lvlJc w:val="left"/>
    </w:lvl>
  </w:abstractNum>
  <w:num w:numId="1">
    <w:abstractNumId w:val="5"/>
  </w:num>
  <w:num w:numId="2">
    <w:abstractNumId w:val="22"/>
  </w:num>
  <w:num w:numId="3">
    <w:abstractNumId w:val="10"/>
  </w:num>
  <w:num w:numId="4">
    <w:abstractNumId w:val="29"/>
  </w:num>
  <w:num w:numId="5">
    <w:abstractNumId w:val="3"/>
  </w:num>
  <w:num w:numId="6">
    <w:abstractNumId w:val="18"/>
  </w:num>
  <w:num w:numId="7">
    <w:abstractNumId w:val="28"/>
  </w:num>
  <w:num w:numId="8">
    <w:abstractNumId w:val="19"/>
  </w:num>
  <w:num w:numId="9">
    <w:abstractNumId w:val="26"/>
  </w:num>
  <w:num w:numId="10">
    <w:abstractNumId w:val="2"/>
  </w:num>
  <w:num w:numId="11">
    <w:abstractNumId w:val="24"/>
  </w:num>
  <w:num w:numId="12">
    <w:abstractNumId w:val="13"/>
  </w:num>
  <w:num w:numId="13">
    <w:abstractNumId w:val="9"/>
  </w:num>
  <w:num w:numId="14">
    <w:abstractNumId w:val="8"/>
  </w:num>
  <w:num w:numId="15">
    <w:abstractNumId w:val="14"/>
  </w:num>
  <w:num w:numId="16">
    <w:abstractNumId w:val="7"/>
  </w:num>
  <w:num w:numId="17">
    <w:abstractNumId w:val="4"/>
  </w:num>
  <w:num w:numId="18">
    <w:abstractNumId w:val="27"/>
  </w:num>
  <w:num w:numId="19">
    <w:abstractNumId w:val="15"/>
  </w:num>
  <w:num w:numId="20">
    <w:abstractNumId w:val="12"/>
  </w:num>
  <w:num w:numId="21">
    <w:abstractNumId w:val="20"/>
  </w:num>
  <w:num w:numId="22">
    <w:abstractNumId w:val="17"/>
  </w:num>
  <w:num w:numId="23">
    <w:abstractNumId w:val="21"/>
  </w:num>
  <w:num w:numId="24">
    <w:abstractNumId w:val="6"/>
  </w:num>
  <w:num w:numId="25">
    <w:abstractNumId w:val="16"/>
  </w:num>
  <w:num w:numId="26">
    <w:abstractNumId w:val="11"/>
  </w:num>
  <w:num w:numId="27">
    <w:abstractNumId w:val="25"/>
  </w:num>
  <w:num w:numId="28">
    <w:abstractNumId w:val="1"/>
  </w:num>
  <w:num w:numId="29">
    <w:abstractNumId w:val="33"/>
  </w:num>
  <w:num w:numId="30">
    <w:abstractNumId w:val="23"/>
  </w:num>
  <w:num w:numId="31">
    <w:abstractNumId w:val="32"/>
  </w:num>
  <w:num w:numId="32">
    <w:abstractNumId w:val="30"/>
  </w:num>
  <w:num w:numId="33">
    <w:abstractNumId w:val="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2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FA6"/>
    <w:rsid w:val="000365F1"/>
    <w:rsid w:val="00043472"/>
    <w:rsid w:val="00044580"/>
    <w:rsid w:val="00052636"/>
    <w:rsid w:val="00060B21"/>
    <w:rsid w:val="00073C3A"/>
    <w:rsid w:val="000762D1"/>
    <w:rsid w:val="00080859"/>
    <w:rsid w:val="00085221"/>
    <w:rsid w:val="000B6FA5"/>
    <w:rsid w:val="000C6ECD"/>
    <w:rsid w:val="000D0939"/>
    <w:rsid w:val="000E2269"/>
    <w:rsid w:val="000E45EA"/>
    <w:rsid w:val="000E5BB9"/>
    <w:rsid w:val="00100B7F"/>
    <w:rsid w:val="00101187"/>
    <w:rsid w:val="0011373C"/>
    <w:rsid w:val="00120ACD"/>
    <w:rsid w:val="001636C3"/>
    <w:rsid w:val="00163990"/>
    <w:rsid w:val="00172A27"/>
    <w:rsid w:val="001741DB"/>
    <w:rsid w:val="00197BD9"/>
    <w:rsid w:val="001A1F1A"/>
    <w:rsid w:val="001B3318"/>
    <w:rsid w:val="001C1A98"/>
    <w:rsid w:val="001C5CA0"/>
    <w:rsid w:val="001D793D"/>
    <w:rsid w:val="001F29E4"/>
    <w:rsid w:val="001F682E"/>
    <w:rsid w:val="002023C2"/>
    <w:rsid w:val="002050A5"/>
    <w:rsid w:val="00213E2F"/>
    <w:rsid w:val="00221E2E"/>
    <w:rsid w:val="00227715"/>
    <w:rsid w:val="002441CD"/>
    <w:rsid w:val="002606D4"/>
    <w:rsid w:val="002615D2"/>
    <w:rsid w:val="00273974"/>
    <w:rsid w:val="00284144"/>
    <w:rsid w:val="0029263F"/>
    <w:rsid w:val="002A1493"/>
    <w:rsid w:val="002A3D47"/>
    <w:rsid w:val="002B33AE"/>
    <w:rsid w:val="002C1F42"/>
    <w:rsid w:val="002D2D54"/>
    <w:rsid w:val="002E203C"/>
    <w:rsid w:val="002F1EEE"/>
    <w:rsid w:val="002F318E"/>
    <w:rsid w:val="0031116C"/>
    <w:rsid w:val="00314F97"/>
    <w:rsid w:val="0031718D"/>
    <w:rsid w:val="00317231"/>
    <w:rsid w:val="00321629"/>
    <w:rsid w:val="00324E03"/>
    <w:rsid w:val="0032690F"/>
    <w:rsid w:val="00344603"/>
    <w:rsid w:val="003450FE"/>
    <w:rsid w:val="00347B2B"/>
    <w:rsid w:val="003678A6"/>
    <w:rsid w:val="003A7F7D"/>
    <w:rsid w:val="003B305B"/>
    <w:rsid w:val="003B718D"/>
    <w:rsid w:val="003C4B74"/>
    <w:rsid w:val="003C4EC2"/>
    <w:rsid w:val="003D44C1"/>
    <w:rsid w:val="003E1354"/>
    <w:rsid w:val="003E6059"/>
    <w:rsid w:val="003E68DD"/>
    <w:rsid w:val="00404572"/>
    <w:rsid w:val="00406B45"/>
    <w:rsid w:val="00411E63"/>
    <w:rsid w:val="00413C5B"/>
    <w:rsid w:val="00433327"/>
    <w:rsid w:val="00435902"/>
    <w:rsid w:val="00452C89"/>
    <w:rsid w:val="00466BDA"/>
    <w:rsid w:val="00481D92"/>
    <w:rsid w:val="00486207"/>
    <w:rsid w:val="004A356B"/>
    <w:rsid w:val="004B632A"/>
    <w:rsid w:val="004C3407"/>
    <w:rsid w:val="004C60CB"/>
    <w:rsid w:val="004D3C0B"/>
    <w:rsid w:val="004E441D"/>
    <w:rsid w:val="005114E7"/>
    <w:rsid w:val="0051335D"/>
    <w:rsid w:val="00523A4E"/>
    <w:rsid w:val="00526A21"/>
    <w:rsid w:val="00531A6D"/>
    <w:rsid w:val="005357B2"/>
    <w:rsid w:val="005412F4"/>
    <w:rsid w:val="00550758"/>
    <w:rsid w:val="005536CE"/>
    <w:rsid w:val="00577454"/>
    <w:rsid w:val="005B46F2"/>
    <w:rsid w:val="005C0B0E"/>
    <w:rsid w:val="005E7937"/>
    <w:rsid w:val="005F7A80"/>
    <w:rsid w:val="006004DC"/>
    <w:rsid w:val="00614A98"/>
    <w:rsid w:val="006265B6"/>
    <w:rsid w:val="00637461"/>
    <w:rsid w:val="0064115B"/>
    <w:rsid w:val="0064167E"/>
    <w:rsid w:val="0065066B"/>
    <w:rsid w:val="00651168"/>
    <w:rsid w:val="00652E00"/>
    <w:rsid w:val="00695EB0"/>
    <w:rsid w:val="006B13D1"/>
    <w:rsid w:val="006B1B2F"/>
    <w:rsid w:val="006C0B63"/>
    <w:rsid w:val="006C7E26"/>
    <w:rsid w:val="006D6B4B"/>
    <w:rsid w:val="006D6F6B"/>
    <w:rsid w:val="006E3FEC"/>
    <w:rsid w:val="006E4C13"/>
    <w:rsid w:val="0070679E"/>
    <w:rsid w:val="00726EB9"/>
    <w:rsid w:val="007352B2"/>
    <w:rsid w:val="0073552B"/>
    <w:rsid w:val="00740838"/>
    <w:rsid w:val="00746212"/>
    <w:rsid w:val="0076252E"/>
    <w:rsid w:val="00783DEE"/>
    <w:rsid w:val="00786FF4"/>
    <w:rsid w:val="007955BB"/>
    <w:rsid w:val="00797994"/>
    <w:rsid w:val="007A1F9B"/>
    <w:rsid w:val="007B07A5"/>
    <w:rsid w:val="007B414B"/>
    <w:rsid w:val="007C030A"/>
    <w:rsid w:val="007C2D3C"/>
    <w:rsid w:val="007D0871"/>
    <w:rsid w:val="007D53A2"/>
    <w:rsid w:val="007E05A2"/>
    <w:rsid w:val="00802065"/>
    <w:rsid w:val="008029BE"/>
    <w:rsid w:val="008116E2"/>
    <w:rsid w:val="00821C7C"/>
    <w:rsid w:val="00841BEA"/>
    <w:rsid w:val="008636E6"/>
    <w:rsid w:val="00864474"/>
    <w:rsid w:val="00866483"/>
    <w:rsid w:val="00875964"/>
    <w:rsid w:val="00890078"/>
    <w:rsid w:val="008A521C"/>
    <w:rsid w:val="008A7F4F"/>
    <w:rsid w:val="008B748D"/>
    <w:rsid w:val="008C0356"/>
    <w:rsid w:val="008D0223"/>
    <w:rsid w:val="008D5277"/>
    <w:rsid w:val="008D5703"/>
    <w:rsid w:val="008F270D"/>
    <w:rsid w:val="0090067B"/>
    <w:rsid w:val="0091736B"/>
    <w:rsid w:val="0092077D"/>
    <w:rsid w:val="009234BF"/>
    <w:rsid w:val="0094250B"/>
    <w:rsid w:val="00947E08"/>
    <w:rsid w:val="00954543"/>
    <w:rsid w:val="00960B4C"/>
    <w:rsid w:val="009651AC"/>
    <w:rsid w:val="0098562A"/>
    <w:rsid w:val="0099360E"/>
    <w:rsid w:val="009A02CC"/>
    <w:rsid w:val="009A2C87"/>
    <w:rsid w:val="009A5B3D"/>
    <w:rsid w:val="009B1098"/>
    <w:rsid w:val="009C76E2"/>
    <w:rsid w:val="009D1325"/>
    <w:rsid w:val="009D6ADD"/>
    <w:rsid w:val="009E0827"/>
    <w:rsid w:val="009E7A5C"/>
    <w:rsid w:val="00A06068"/>
    <w:rsid w:val="00A44AD7"/>
    <w:rsid w:val="00A57E38"/>
    <w:rsid w:val="00A846DD"/>
    <w:rsid w:val="00AB454D"/>
    <w:rsid w:val="00AB6A66"/>
    <w:rsid w:val="00AC01BD"/>
    <w:rsid w:val="00AC64A6"/>
    <w:rsid w:val="00AC7C3A"/>
    <w:rsid w:val="00AE15E2"/>
    <w:rsid w:val="00AF2565"/>
    <w:rsid w:val="00B06F1E"/>
    <w:rsid w:val="00B23DE5"/>
    <w:rsid w:val="00B25E03"/>
    <w:rsid w:val="00B350F6"/>
    <w:rsid w:val="00B47037"/>
    <w:rsid w:val="00B513C7"/>
    <w:rsid w:val="00B52752"/>
    <w:rsid w:val="00B94CFD"/>
    <w:rsid w:val="00B960C6"/>
    <w:rsid w:val="00B964BA"/>
    <w:rsid w:val="00BB0176"/>
    <w:rsid w:val="00BE1562"/>
    <w:rsid w:val="00BF0C14"/>
    <w:rsid w:val="00BF26D9"/>
    <w:rsid w:val="00C10D6A"/>
    <w:rsid w:val="00C124B4"/>
    <w:rsid w:val="00C12A6F"/>
    <w:rsid w:val="00C3229C"/>
    <w:rsid w:val="00C325D7"/>
    <w:rsid w:val="00C378F5"/>
    <w:rsid w:val="00C419A1"/>
    <w:rsid w:val="00C45393"/>
    <w:rsid w:val="00C5301B"/>
    <w:rsid w:val="00C72CBF"/>
    <w:rsid w:val="00C86B68"/>
    <w:rsid w:val="00C930F0"/>
    <w:rsid w:val="00CA56AF"/>
    <w:rsid w:val="00CA5AFC"/>
    <w:rsid w:val="00CA5CB1"/>
    <w:rsid w:val="00CA5F40"/>
    <w:rsid w:val="00CB4207"/>
    <w:rsid w:val="00CC3FE2"/>
    <w:rsid w:val="00CD1AA9"/>
    <w:rsid w:val="00CD7E80"/>
    <w:rsid w:val="00D52563"/>
    <w:rsid w:val="00D66FE3"/>
    <w:rsid w:val="00D74745"/>
    <w:rsid w:val="00D76712"/>
    <w:rsid w:val="00DB6F86"/>
    <w:rsid w:val="00DB76C4"/>
    <w:rsid w:val="00DC3B19"/>
    <w:rsid w:val="00DD4403"/>
    <w:rsid w:val="00E003F4"/>
    <w:rsid w:val="00E02897"/>
    <w:rsid w:val="00E028D7"/>
    <w:rsid w:val="00E03841"/>
    <w:rsid w:val="00E13F96"/>
    <w:rsid w:val="00E179F0"/>
    <w:rsid w:val="00E2222E"/>
    <w:rsid w:val="00E26D4D"/>
    <w:rsid w:val="00E608EB"/>
    <w:rsid w:val="00E710C9"/>
    <w:rsid w:val="00E72378"/>
    <w:rsid w:val="00E7542A"/>
    <w:rsid w:val="00EA65BF"/>
    <w:rsid w:val="00EA7E51"/>
    <w:rsid w:val="00EB0724"/>
    <w:rsid w:val="00EC242C"/>
    <w:rsid w:val="00EC781E"/>
    <w:rsid w:val="00ED0E79"/>
    <w:rsid w:val="00ED6FF9"/>
    <w:rsid w:val="00EE4E5A"/>
    <w:rsid w:val="00F033F5"/>
    <w:rsid w:val="00F1143C"/>
    <w:rsid w:val="00F24302"/>
    <w:rsid w:val="00F30187"/>
    <w:rsid w:val="00F3327E"/>
    <w:rsid w:val="00F3777B"/>
    <w:rsid w:val="00F434CF"/>
    <w:rsid w:val="00F47538"/>
    <w:rsid w:val="00F53C50"/>
    <w:rsid w:val="00F56102"/>
    <w:rsid w:val="00F700CB"/>
    <w:rsid w:val="00F80BA7"/>
    <w:rsid w:val="00F81A0C"/>
    <w:rsid w:val="00F97698"/>
    <w:rsid w:val="00FA62E6"/>
    <w:rsid w:val="00FB63C4"/>
    <w:rsid w:val="00FB75FD"/>
    <w:rsid w:val="00FE55C9"/>
    <w:rsid w:val="00FF05E5"/>
    <w:rsid w:val="00FF0CB0"/>
    <w:rsid w:val="00FF533C"/>
    <w:rsid w:val="01503BE6"/>
    <w:rsid w:val="03522C5A"/>
    <w:rsid w:val="0362477C"/>
    <w:rsid w:val="05ED7EBF"/>
    <w:rsid w:val="06334B4F"/>
    <w:rsid w:val="0A8B552B"/>
    <w:rsid w:val="0B5A20BF"/>
    <w:rsid w:val="0B9F7D27"/>
    <w:rsid w:val="0CD54059"/>
    <w:rsid w:val="0D031F9C"/>
    <w:rsid w:val="0DFB6B2B"/>
    <w:rsid w:val="0E9922EB"/>
    <w:rsid w:val="0F2C0E09"/>
    <w:rsid w:val="10063C8B"/>
    <w:rsid w:val="10B56B06"/>
    <w:rsid w:val="14404AE8"/>
    <w:rsid w:val="16170B8A"/>
    <w:rsid w:val="16AD3DB0"/>
    <w:rsid w:val="16C74602"/>
    <w:rsid w:val="1A0E1ACF"/>
    <w:rsid w:val="1A5C40D3"/>
    <w:rsid w:val="1AD04BC2"/>
    <w:rsid w:val="1C49316A"/>
    <w:rsid w:val="1CD20DD8"/>
    <w:rsid w:val="1E6D6292"/>
    <w:rsid w:val="1F9F54FC"/>
    <w:rsid w:val="21E11EFA"/>
    <w:rsid w:val="23CB6D5D"/>
    <w:rsid w:val="278447B8"/>
    <w:rsid w:val="28857CFC"/>
    <w:rsid w:val="2C1510A8"/>
    <w:rsid w:val="2CB016AA"/>
    <w:rsid w:val="2D22423B"/>
    <w:rsid w:val="2D841D39"/>
    <w:rsid w:val="2E594A2C"/>
    <w:rsid w:val="304955B3"/>
    <w:rsid w:val="30E6775E"/>
    <w:rsid w:val="32586376"/>
    <w:rsid w:val="3438505D"/>
    <w:rsid w:val="36241494"/>
    <w:rsid w:val="36FD6BE2"/>
    <w:rsid w:val="39690E4D"/>
    <w:rsid w:val="39AD4CA9"/>
    <w:rsid w:val="3B9B3C0E"/>
    <w:rsid w:val="3E0C4BC5"/>
    <w:rsid w:val="3F07325B"/>
    <w:rsid w:val="3F19435C"/>
    <w:rsid w:val="3F444DEC"/>
    <w:rsid w:val="3FB365E9"/>
    <w:rsid w:val="40A23F11"/>
    <w:rsid w:val="41526A17"/>
    <w:rsid w:val="420F7CF9"/>
    <w:rsid w:val="423C6231"/>
    <w:rsid w:val="43CC09BD"/>
    <w:rsid w:val="456D4A95"/>
    <w:rsid w:val="46135C5B"/>
    <w:rsid w:val="4648105B"/>
    <w:rsid w:val="4C070DF2"/>
    <w:rsid w:val="4D0B47E0"/>
    <w:rsid w:val="4E306737"/>
    <w:rsid w:val="504017B0"/>
    <w:rsid w:val="50616529"/>
    <w:rsid w:val="520D1B59"/>
    <w:rsid w:val="52126D10"/>
    <w:rsid w:val="56715D0D"/>
    <w:rsid w:val="583951AE"/>
    <w:rsid w:val="5DA15823"/>
    <w:rsid w:val="5DAA64F0"/>
    <w:rsid w:val="5E0D4CF0"/>
    <w:rsid w:val="5F5A1288"/>
    <w:rsid w:val="5FB90319"/>
    <w:rsid w:val="5FCF795A"/>
    <w:rsid w:val="625A2ED0"/>
    <w:rsid w:val="652435AA"/>
    <w:rsid w:val="652F722F"/>
    <w:rsid w:val="67397C72"/>
    <w:rsid w:val="686A2352"/>
    <w:rsid w:val="6A8D1D2D"/>
    <w:rsid w:val="6B6212B3"/>
    <w:rsid w:val="6BF26897"/>
    <w:rsid w:val="6EE91475"/>
    <w:rsid w:val="6F995C50"/>
    <w:rsid w:val="6FD70B39"/>
    <w:rsid w:val="6FE92904"/>
    <w:rsid w:val="704730E1"/>
    <w:rsid w:val="7154309C"/>
    <w:rsid w:val="72873175"/>
    <w:rsid w:val="734C1C29"/>
    <w:rsid w:val="739B0D81"/>
    <w:rsid w:val="73A32238"/>
    <w:rsid w:val="751670B7"/>
    <w:rsid w:val="77A108C5"/>
    <w:rsid w:val="77DA4E48"/>
    <w:rsid w:val="78244C2B"/>
    <w:rsid w:val="78C0052C"/>
    <w:rsid w:val="7B8938E5"/>
    <w:rsid w:val="7C43330E"/>
    <w:rsid w:val="7E393D1F"/>
    <w:rsid w:val="7F8C2CB8"/>
    <w:rsid w:val="7F972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Calibri" w:hAnsi="Calibri" w:eastAsia="宋体" w:cs="Times New Roman"/>
      <w:sz w:val="22"/>
      <w:szCs w:val="22"/>
      <w:lang w:val="en-US" w:eastAsia="en-US" w:bidi="en-US"/>
    </w:rPr>
  </w:style>
  <w:style w:type="paragraph" w:styleId="3">
    <w:name w:val="heading 1"/>
    <w:basedOn w:val="1"/>
    <w:next w:val="1"/>
    <w:link w:val="106"/>
    <w:qFormat/>
    <w:uiPriority w:val="9"/>
    <w:pPr>
      <w:keepNext/>
      <w:keepLines/>
      <w:spacing w:before="480" w:after="0"/>
      <w:outlineLvl w:val="0"/>
    </w:pPr>
    <w:rPr>
      <w:rFonts w:ascii="Cambria" w:hAnsi="Cambria"/>
      <w:b/>
      <w:bCs/>
      <w:color w:val="365F91"/>
      <w:sz w:val="28"/>
      <w:szCs w:val="28"/>
      <w:lang w:bidi="ar-SA"/>
    </w:rPr>
  </w:style>
  <w:style w:type="paragraph" w:styleId="4">
    <w:name w:val="heading 2"/>
    <w:basedOn w:val="1"/>
    <w:next w:val="1"/>
    <w:link w:val="82"/>
    <w:unhideWhenUsed/>
    <w:qFormat/>
    <w:uiPriority w:val="9"/>
    <w:pPr>
      <w:keepNext/>
      <w:keepLines/>
      <w:spacing w:before="200" w:after="0"/>
      <w:outlineLvl w:val="1"/>
    </w:pPr>
    <w:rPr>
      <w:rFonts w:ascii="Cambria" w:hAnsi="Cambria"/>
      <w:b/>
      <w:bCs/>
      <w:color w:val="4F81BD"/>
      <w:sz w:val="26"/>
      <w:szCs w:val="26"/>
      <w:lang w:bidi="ar-SA"/>
    </w:rPr>
  </w:style>
  <w:style w:type="paragraph" w:styleId="5">
    <w:name w:val="heading 3"/>
    <w:basedOn w:val="1"/>
    <w:next w:val="1"/>
    <w:link w:val="118"/>
    <w:unhideWhenUsed/>
    <w:qFormat/>
    <w:uiPriority w:val="9"/>
    <w:pPr>
      <w:keepNext/>
      <w:keepLines/>
      <w:spacing w:before="200" w:after="0"/>
      <w:outlineLvl w:val="2"/>
    </w:pPr>
    <w:rPr>
      <w:rFonts w:ascii="Cambria" w:hAnsi="Cambria"/>
      <w:b/>
      <w:bCs/>
      <w:color w:val="4F81BD"/>
      <w:sz w:val="20"/>
      <w:szCs w:val="20"/>
      <w:lang w:bidi="ar-SA"/>
    </w:rPr>
  </w:style>
  <w:style w:type="paragraph" w:styleId="6">
    <w:name w:val="heading 4"/>
    <w:basedOn w:val="1"/>
    <w:next w:val="1"/>
    <w:link w:val="117"/>
    <w:unhideWhenUsed/>
    <w:qFormat/>
    <w:uiPriority w:val="9"/>
    <w:pPr>
      <w:keepNext/>
      <w:keepLines/>
      <w:spacing w:before="200" w:after="0"/>
      <w:outlineLvl w:val="3"/>
    </w:pPr>
    <w:rPr>
      <w:rFonts w:ascii="Cambria" w:hAnsi="Cambria"/>
      <w:b/>
      <w:bCs/>
      <w:i/>
      <w:iCs/>
      <w:color w:val="4F81BD"/>
      <w:sz w:val="20"/>
      <w:szCs w:val="20"/>
      <w:lang w:bidi="ar-SA"/>
    </w:rPr>
  </w:style>
  <w:style w:type="paragraph" w:styleId="7">
    <w:name w:val="heading 5"/>
    <w:basedOn w:val="1"/>
    <w:next w:val="1"/>
    <w:link w:val="167"/>
    <w:unhideWhenUsed/>
    <w:qFormat/>
    <w:uiPriority w:val="9"/>
    <w:pPr>
      <w:keepNext/>
      <w:keepLines/>
      <w:spacing w:before="200" w:after="0"/>
      <w:outlineLvl w:val="4"/>
    </w:pPr>
    <w:rPr>
      <w:rFonts w:ascii="Cambria" w:hAnsi="Cambria"/>
      <w:color w:val="243F60"/>
      <w:sz w:val="20"/>
      <w:szCs w:val="20"/>
      <w:lang w:bidi="ar-SA"/>
    </w:rPr>
  </w:style>
  <w:style w:type="paragraph" w:styleId="8">
    <w:name w:val="heading 6"/>
    <w:basedOn w:val="1"/>
    <w:next w:val="1"/>
    <w:link w:val="110"/>
    <w:unhideWhenUsed/>
    <w:qFormat/>
    <w:uiPriority w:val="9"/>
    <w:pPr>
      <w:keepNext/>
      <w:keepLines/>
      <w:spacing w:before="200" w:after="0"/>
      <w:outlineLvl w:val="5"/>
    </w:pPr>
    <w:rPr>
      <w:rFonts w:ascii="Cambria" w:hAnsi="Cambria"/>
      <w:i/>
      <w:iCs/>
      <w:color w:val="243F60"/>
      <w:sz w:val="20"/>
      <w:szCs w:val="20"/>
      <w:lang w:bidi="ar-SA"/>
    </w:rPr>
  </w:style>
  <w:style w:type="paragraph" w:styleId="9">
    <w:name w:val="heading 7"/>
    <w:basedOn w:val="1"/>
    <w:next w:val="1"/>
    <w:link w:val="140"/>
    <w:unhideWhenUsed/>
    <w:qFormat/>
    <w:uiPriority w:val="9"/>
    <w:pPr>
      <w:keepNext/>
      <w:keepLines/>
      <w:spacing w:before="200" w:after="0"/>
      <w:outlineLvl w:val="6"/>
    </w:pPr>
    <w:rPr>
      <w:rFonts w:ascii="Cambria" w:hAnsi="Cambria"/>
      <w:i/>
      <w:iCs/>
      <w:color w:val="404040"/>
      <w:sz w:val="20"/>
      <w:szCs w:val="20"/>
      <w:lang w:bidi="ar-SA"/>
    </w:rPr>
  </w:style>
  <w:style w:type="paragraph" w:styleId="10">
    <w:name w:val="heading 8"/>
    <w:basedOn w:val="1"/>
    <w:next w:val="1"/>
    <w:link w:val="85"/>
    <w:unhideWhenUsed/>
    <w:qFormat/>
    <w:uiPriority w:val="9"/>
    <w:pPr>
      <w:keepNext/>
      <w:keepLines/>
      <w:spacing w:before="200" w:after="0"/>
      <w:outlineLvl w:val="7"/>
    </w:pPr>
    <w:rPr>
      <w:rFonts w:ascii="Cambria" w:hAnsi="Cambria"/>
      <w:color w:val="4F81BD"/>
      <w:sz w:val="20"/>
      <w:szCs w:val="20"/>
      <w:lang w:bidi="ar-SA"/>
    </w:rPr>
  </w:style>
  <w:style w:type="paragraph" w:styleId="11">
    <w:name w:val="heading 9"/>
    <w:basedOn w:val="1"/>
    <w:next w:val="1"/>
    <w:link w:val="131"/>
    <w:unhideWhenUsed/>
    <w:qFormat/>
    <w:uiPriority w:val="9"/>
    <w:pPr>
      <w:keepNext/>
      <w:keepLines/>
      <w:spacing w:before="200" w:after="0"/>
      <w:outlineLvl w:val="8"/>
    </w:pPr>
    <w:rPr>
      <w:rFonts w:ascii="Cambria" w:hAnsi="Cambria"/>
      <w:i/>
      <w:iCs/>
      <w:color w:val="404040"/>
      <w:sz w:val="20"/>
      <w:szCs w:val="20"/>
      <w:lang w:bidi="ar-SA"/>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spacing w:line="360" w:lineRule="auto"/>
    </w:pPr>
    <w:rPr>
      <w:kern w:val="2"/>
      <w:sz w:val="24"/>
      <w:szCs w:val="28"/>
      <w:lang w:eastAsia="zh-CN" w:bidi="ar-SA"/>
    </w:rPr>
  </w:style>
  <w:style w:type="paragraph" w:styleId="12">
    <w:name w:val="toc 7"/>
    <w:basedOn w:val="1"/>
    <w:next w:val="1"/>
    <w:qFormat/>
    <w:uiPriority w:val="0"/>
    <w:pPr>
      <w:ind w:left="2520" w:leftChars="1200"/>
    </w:pPr>
  </w:style>
  <w:style w:type="paragraph" w:styleId="13">
    <w:name w:val="caption"/>
    <w:basedOn w:val="1"/>
    <w:next w:val="1"/>
    <w:unhideWhenUsed/>
    <w:qFormat/>
    <w:uiPriority w:val="35"/>
    <w:pPr>
      <w:spacing w:line="240" w:lineRule="auto"/>
    </w:pPr>
    <w:rPr>
      <w:b/>
      <w:bCs/>
      <w:color w:val="4F81BD"/>
      <w:sz w:val="18"/>
      <w:szCs w:val="18"/>
    </w:rPr>
  </w:style>
  <w:style w:type="paragraph" w:styleId="14">
    <w:name w:val="List Bullet"/>
    <w:basedOn w:val="1"/>
    <w:qFormat/>
    <w:uiPriority w:val="0"/>
    <w:pPr>
      <w:tabs>
        <w:tab w:val="left" w:pos="360"/>
      </w:tabs>
      <w:spacing w:line="240" w:lineRule="atLeast"/>
      <w:ind w:left="360" w:leftChars="30" w:hanging="360"/>
    </w:pPr>
    <w:rPr>
      <w:rFonts w:ascii="宋体" w:hAnsi="宋体"/>
      <w:sz w:val="24"/>
    </w:rPr>
  </w:style>
  <w:style w:type="paragraph" w:styleId="15">
    <w:name w:val="annotation text"/>
    <w:basedOn w:val="1"/>
    <w:link w:val="115"/>
    <w:qFormat/>
    <w:uiPriority w:val="0"/>
    <w:rPr>
      <w:kern w:val="2"/>
      <w:sz w:val="21"/>
      <w:szCs w:val="28"/>
      <w:lang w:eastAsia="zh-CN" w:bidi="ar-SA"/>
    </w:rPr>
  </w:style>
  <w:style w:type="paragraph" w:styleId="16">
    <w:name w:val="List Bullet 3"/>
    <w:basedOn w:val="1"/>
    <w:qFormat/>
    <w:uiPriority w:val="0"/>
    <w:pPr>
      <w:tabs>
        <w:tab w:val="left" w:pos="1200"/>
      </w:tabs>
      <w:ind w:left="1200" w:leftChars="400" w:hanging="360" w:hangingChars="200"/>
    </w:pPr>
    <w:rPr>
      <w:szCs w:val="28"/>
    </w:rPr>
  </w:style>
  <w:style w:type="paragraph" w:styleId="17">
    <w:name w:val="List Bullet 2"/>
    <w:basedOn w:val="1"/>
    <w:qFormat/>
    <w:uiPriority w:val="0"/>
    <w:pPr>
      <w:tabs>
        <w:tab w:val="left" w:pos="780"/>
      </w:tabs>
      <w:spacing w:line="400" w:lineRule="exact"/>
      <w:ind w:left="780" w:leftChars="200" w:hanging="360" w:hangingChars="200"/>
    </w:pPr>
    <w:rPr>
      <w:rFonts w:ascii="宋体" w:hAnsi="宋体"/>
      <w:sz w:val="24"/>
      <w:szCs w:val="18"/>
    </w:rPr>
  </w:style>
  <w:style w:type="paragraph" w:styleId="18">
    <w:name w:val="toc 5"/>
    <w:basedOn w:val="1"/>
    <w:next w:val="1"/>
    <w:qFormat/>
    <w:uiPriority w:val="0"/>
    <w:pPr>
      <w:ind w:left="1680" w:leftChars="800"/>
    </w:pPr>
  </w:style>
  <w:style w:type="paragraph" w:styleId="19">
    <w:name w:val="toc 3"/>
    <w:basedOn w:val="1"/>
    <w:next w:val="1"/>
    <w:qFormat/>
    <w:uiPriority w:val="39"/>
    <w:pPr>
      <w:ind w:left="840" w:leftChars="400"/>
    </w:pPr>
  </w:style>
  <w:style w:type="paragraph" w:styleId="20">
    <w:name w:val="toc 8"/>
    <w:basedOn w:val="1"/>
    <w:next w:val="1"/>
    <w:qFormat/>
    <w:uiPriority w:val="0"/>
    <w:pPr>
      <w:ind w:left="2940" w:leftChars="1400"/>
    </w:pPr>
  </w:style>
  <w:style w:type="paragraph" w:styleId="21">
    <w:name w:val="Date"/>
    <w:basedOn w:val="1"/>
    <w:next w:val="1"/>
    <w:qFormat/>
    <w:uiPriority w:val="0"/>
    <w:pPr>
      <w:ind w:left="100" w:leftChars="2500"/>
    </w:pPr>
    <w:rPr>
      <w:kern w:val="2"/>
      <w:sz w:val="21"/>
      <w:szCs w:val="28"/>
      <w:lang w:eastAsia="zh-CN"/>
    </w:rPr>
  </w:style>
  <w:style w:type="paragraph" w:styleId="22">
    <w:name w:val="Body Text Indent 2"/>
    <w:basedOn w:val="1"/>
    <w:qFormat/>
    <w:uiPriority w:val="0"/>
    <w:pPr>
      <w:spacing w:after="120" w:line="480" w:lineRule="auto"/>
      <w:ind w:left="420" w:leftChars="200"/>
    </w:pPr>
    <w:rPr>
      <w:rFonts w:ascii="宋体" w:hAnsi="宋体" w:cs="宋体"/>
      <w:b/>
      <w:bCs/>
      <w:kern w:val="2"/>
      <w:sz w:val="24"/>
      <w:szCs w:val="28"/>
      <w:lang w:eastAsia="zh-CN"/>
    </w:rPr>
  </w:style>
  <w:style w:type="paragraph" w:styleId="23">
    <w:name w:val="endnote text"/>
    <w:basedOn w:val="1"/>
    <w:link w:val="169"/>
    <w:qFormat/>
    <w:uiPriority w:val="0"/>
    <w:pPr>
      <w:snapToGrid w:val="0"/>
    </w:pPr>
    <w:rPr>
      <w:sz w:val="20"/>
      <w:szCs w:val="24"/>
      <w:lang w:bidi="ar-SA"/>
    </w:rPr>
  </w:style>
  <w:style w:type="paragraph" w:styleId="24">
    <w:name w:val="Balloon Text"/>
    <w:basedOn w:val="1"/>
    <w:link w:val="81"/>
    <w:qFormat/>
    <w:uiPriority w:val="0"/>
    <w:rPr>
      <w:kern w:val="2"/>
      <w:sz w:val="18"/>
      <w:szCs w:val="18"/>
      <w:lang w:eastAsia="zh-CN" w:bidi="ar-SA"/>
    </w:rPr>
  </w:style>
  <w:style w:type="paragraph" w:styleId="25">
    <w:name w:val="footer"/>
    <w:basedOn w:val="1"/>
    <w:link w:val="141"/>
    <w:qFormat/>
    <w:uiPriority w:val="0"/>
    <w:pPr>
      <w:tabs>
        <w:tab w:val="center" w:pos="4153"/>
        <w:tab w:val="right" w:pos="8306"/>
      </w:tabs>
      <w:snapToGrid w:val="0"/>
    </w:pPr>
    <w:rPr>
      <w:kern w:val="2"/>
      <w:sz w:val="18"/>
      <w:szCs w:val="28"/>
      <w:lang w:eastAsia="zh-CN" w:bidi="ar-SA"/>
    </w:rPr>
  </w:style>
  <w:style w:type="paragraph" w:styleId="26">
    <w:name w:val="header"/>
    <w:basedOn w:val="1"/>
    <w:link w:val="130"/>
    <w:qFormat/>
    <w:uiPriority w:val="0"/>
    <w:pPr>
      <w:pBdr>
        <w:bottom w:val="single" w:color="auto" w:sz="6" w:space="1"/>
      </w:pBdr>
      <w:tabs>
        <w:tab w:val="center" w:pos="4153"/>
        <w:tab w:val="right" w:pos="8306"/>
      </w:tabs>
      <w:snapToGrid w:val="0"/>
      <w:jc w:val="center"/>
    </w:pPr>
    <w:rPr>
      <w:kern w:val="2"/>
      <w:sz w:val="18"/>
      <w:szCs w:val="18"/>
      <w:lang w:eastAsia="zh-CN" w:bidi="ar-SA"/>
    </w:rPr>
  </w:style>
  <w:style w:type="paragraph" w:styleId="27">
    <w:name w:val="toc 1"/>
    <w:basedOn w:val="1"/>
    <w:next w:val="1"/>
    <w:qFormat/>
    <w:uiPriority w:val="39"/>
  </w:style>
  <w:style w:type="paragraph" w:styleId="28">
    <w:name w:val="toc 4"/>
    <w:basedOn w:val="1"/>
    <w:next w:val="1"/>
    <w:qFormat/>
    <w:uiPriority w:val="0"/>
    <w:pPr>
      <w:ind w:left="1260" w:leftChars="600"/>
    </w:pPr>
  </w:style>
  <w:style w:type="paragraph" w:styleId="29">
    <w:name w:val="Subtitle"/>
    <w:basedOn w:val="1"/>
    <w:next w:val="1"/>
    <w:link w:val="162"/>
    <w:qFormat/>
    <w:uiPriority w:val="11"/>
    <w:rPr>
      <w:rFonts w:ascii="Cambria" w:hAnsi="Cambria"/>
      <w:i/>
      <w:iCs/>
      <w:color w:val="4F81BD"/>
      <w:spacing w:val="15"/>
      <w:sz w:val="24"/>
      <w:szCs w:val="24"/>
      <w:lang w:bidi="ar-SA"/>
    </w:rPr>
  </w:style>
  <w:style w:type="paragraph" w:styleId="30">
    <w:name w:val="footnote text"/>
    <w:basedOn w:val="1"/>
    <w:link w:val="124"/>
    <w:qFormat/>
    <w:uiPriority w:val="0"/>
    <w:pPr>
      <w:snapToGrid w:val="0"/>
    </w:pPr>
    <w:rPr>
      <w:kern w:val="2"/>
      <w:sz w:val="18"/>
      <w:szCs w:val="18"/>
      <w:lang w:bidi="ar-SA"/>
    </w:rPr>
  </w:style>
  <w:style w:type="paragraph" w:styleId="31">
    <w:name w:val="toc 6"/>
    <w:basedOn w:val="1"/>
    <w:next w:val="1"/>
    <w:qFormat/>
    <w:uiPriority w:val="0"/>
    <w:pPr>
      <w:ind w:left="2100" w:leftChars="1000"/>
    </w:pPr>
  </w:style>
  <w:style w:type="paragraph" w:styleId="32">
    <w:name w:val="Body Text Indent 3"/>
    <w:basedOn w:val="1"/>
    <w:qFormat/>
    <w:uiPriority w:val="0"/>
    <w:pPr>
      <w:spacing w:after="120"/>
      <w:ind w:left="420" w:leftChars="200"/>
    </w:pPr>
    <w:rPr>
      <w:kern w:val="2"/>
      <w:sz w:val="21"/>
      <w:szCs w:val="21"/>
      <w:lang w:eastAsia="zh-CN"/>
    </w:rPr>
  </w:style>
  <w:style w:type="paragraph" w:styleId="33">
    <w:name w:val="toc 2"/>
    <w:basedOn w:val="1"/>
    <w:next w:val="1"/>
    <w:qFormat/>
    <w:uiPriority w:val="39"/>
    <w:pPr>
      <w:ind w:left="420" w:leftChars="200"/>
    </w:pPr>
  </w:style>
  <w:style w:type="paragraph" w:styleId="34">
    <w:name w:val="toc 9"/>
    <w:basedOn w:val="1"/>
    <w:next w:val="1"/>
    <w:qFormat/>
    <w:uiPriority w:val="0"/>
    <w:pPr>
      <w:ind w:left="3360" w:leftChars="1600"/>
    </w:pPr>
  </w:style>
  <w:style w:type="paragraph" w:styleId="35">
    <w:name w:val="Title"/>
    <w:basedOn w:val="1"/>
    <w:next w:val="1"/>
    <w:link w:val="135"/>
    <w:qFormat/>
    <w:uiPriority w:val="10"/>
    <w:pPr>
      <w:pBdr>
        <w:bottom w:val="single" w:color="4F81BD" w:sz="8" w:space="4"/>
      </w:pBdr>
      <w:spacing w:after="300" w:line="240" w:lineRule="auto"/>
      <w:contextualSpacing/>
    </w:pPr>
    <w:rPr>
      <w:rFonts w:ascii="Cambria" w:hAnsi="Cambria"/>
      <w:color w:val="17365D"/>
      <w:spacing w:val="5"/>
      <w:kern w:val="28"/>
      <w:sz w:val="52"/>
      <w:szCs w:val="52"/>
      <w:lang w:bidi="ar-SA"/>
    </w:rPr>
  </w:style>
  <w:style w:type="paragraph" w:styleId="36">
    <w:name w:val="annotation subject"/>
    <w:basedOn w:val="15"/>
    <w:next w:val="15"/>
    <w:qFormat/>
    <w:uiPriority w:val="0"/>
    <w:rPr>
      <w:b/>
      <w:bCs/>
    </w:rPr>
  </w:style>
  <w:style w:type="table" w:styleId="38">
    <w:name w:val="Table Grid"/>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FollowedHyperlink"/>
    <w:qFormat/>
    <w:uiPriority w:val="0"/>
    <w:rPr>
      <w:color w:val="800080"/>
      <w:u w:val="single"/>
    </w:rPr>
  </w:style>
  <w:style w:type="character" w:styleId="42">
    <w:name w:val="Emphasis"/>
    <w:qFormat/>
    <w:uiPriority w:val="20"/>
    <w:rPr>
      <w:i/>
      <w:iCs/>
    </w:rPr>
  </w:style>
  <w:style w:type="character" w:styleId="43">
    <w:name w:val="Hyperlink"/>
    <w:qFormat/>
    <w:uiPriority w:val="99"/>
    <w:rPr>
      <w:rFonts w:cs="Times New Roman"/>
      <w:color w:val="0000FF"/>
      <w:u w:val="single"/>
    </w:rPr>
  </w:style>
  <w:style w:type="character" w:styleId="44">
    <w:name w:val="annotation reference"/>
    <w:unhideWhenUsed/>
    <w:qFormat/>
    <w:uiPriority w:val="99"/>
    <w:rPr>
      <w:sz w:val="21"/>
      <w:szCs w:val="21"/>
    </w:rPr>
  </w:style>
  <w:style w:type="character" w:styleId="45">
    <w:name w:val="footnote reference"/>
    <w:qFormat/>
    <w:uiPriority w:val="0"/>
    <w:rPr>
      <w:vertAlign w:val="superscript"/>
    </w:rPr>
  </w:style>
  <w:style w:type="character" w:customStyle="1" w:styleId="46">
    <w:name w:val="信息标题 Char"/>
    <w:link w:val="47"/>
    <w:qFormat/>
    <w:uiPriority w:val="0"/>
    <w:rPr>
      <w:rFonts w:ascii="Arial" w:hAnsi="Arial" w:cs="Arial"/>
      <w:sz w:val="24"/>
      <w:szCs w:val="24"/>
      <w:shd w:val="pct20" w:color="auto" w:fill="auto"/>
    </w:rPr>
  </w:style>
  <w:style w:type="paragraph" w:customStyle="1" w:styleId="47">
    <w:name w:val="信息标题1"/>
    <w:basedOn w:val="1"/>
    <w:link w:val="4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4"/>
      <w:shd w:val="pct20" w:color="auto" w:fill="auto"/>
      <w:lang w:bidi="ar-SA"/>
    </w:rPr>
  </w:style>
  <w:style w:type="character" w:customStyle="1" w:styleId="48">
    <w:name w:val="HTML 地址 Char"/>
    <w:link w:val="49"/>
    <w:qFormat/>
    <w:uiPriority w:val="0"/>
    <w:rPr>
      <w:i/>
      <w:iCs/>
      <w:szCs w:val="24"/>
    </w:rPr>
  </w:style>
  <w:style w:type="paragraph" w:customStyle="1" w:styleId="49">
    <w:name w:val="HTML 地址1"/>
    <w:basedOn w:val="1"/>
    <w:link w:val="48"/>
    <w:qFormat/>
    <w:uiPriority w:val="0"/>
    <w:rPr>
      <w:i/>
      <w:iCs/>
      <w:sz w:val="20"/>
      <w:szCs w:val="24"/>
      <w:lang w:bidi="ar-SA"/>
    </w:rPr>
  </w:style>
  <w:style w:type="character" w:customStyle="1" w:styleId="50">
    <w:name w:val="正文文本缩进 Char"/>
    <w:link w:val="51"/>
    <w:qFormat/>
    <w:uiPriority w:val="0"/>
    <w:rPr>
      <w:kern w:val="2"/>
      <w:sz w:val="21"/>
    </w:rPr>
  </w:style>
  <w:style w:type="paragraph" w:customStyle="1" w:styleId="51">
    <w:name w:val="正文文本缩进2"/>
    <w:basedOn w:val="1"/>
    <w:link w:val="50"/>
    <w:qFormat/>
    <w:uiPriority w:val="0"/>
    <w:pPr>
      <w:spacing w:line="360" w:lineRule="auto"/>
      <w:ind w:firstLine="480" w:firstLineChars="200"/>
    </w:pPr>
    <w:rPr>
      <w:kern w:val="2"/>
      <w:sz w:val="21"/>
      <w:szCs w:val="20"/>
      <w:lang w:bidi="ar-SA"/>
    </w:rPr>
  </w:style>
  <w:style w:type="character" w:customStyle="1" w:styleId="52">
    <w:name w:val="HTML 预设格式 Char"/>
    <w:link w:val="53"/>
    <w:qFormat/>
    <w:uiPriority w:val="0"/>
    <w:rPr>
      <w:rFonts w:ascii="Courier New" w:hAnsi="Courier New" w:cs="Courier New"/>
    </w:rPr>
  </w:style>
  <w:style w:type="paragraph" w:customStyle="1" w:styleId="53">
    <w:name w:val="HTML 预设格式1"/>
    <w:basedOn w:val="1"/>
    <w:link w:val="52"/>
    <w:qFormat/>
    <w:uiPriority w:val="0"/>
    <w:rPr>
      <w:rFonts w:ascii="Courier New" w:hAnsi="Courier New"/>
      <w:sz w:val="20"/>
      <w:szCs w:val="20"/>
      <w:lang w:bidi="ar-SA"/>
    </w:rPr>
  </w:style>
  <w:style w:type="character" w:customStyle="1" w:styleId="54">
    <w:name w:val="结束语 Char"/>
    <w:link w:val="55"/>
    <w:qFormat/>
    <w:uiPriority w:val="0"/>
    <w:rPr>
      <w:szCs w:val="24"/>
    </w:rPr>
  </w:style>
  <w:style w:type="paragraph" w:customStyle="1" w:styleId="55">
    <w:name w:val="结束语1"/>
    <w:basedOn w:val="1"/>
    <w:link w:val="54"/>
    <w:qFormat/>
    <w:uiPriority w:val="0"/>
    <w:pPr>
      <w:ind w:left="100" w:leftChars="2100"/>
    </w:pPr>
    <w:rPr>
      <w:sz w:val="20"/>
      <w:szCs w:val="24"/>
      <w:lang w:bidi="ar-SA"/>
    </w:rPr>
  </w:style>
  <w:style w:type="character" w:customStyle="1" w:styleId="56">
    <w:name w:val="称呼 Char"/>
    <w:link w:val="57"/>
    <w:qFormat/>
    <w:uiPriority w:val="0"/>
    <w:rPr>
      <w:kern w:val="2"/>
      <w:sz w:val="28"/>
    </w:rPr>
  </w:style>
  <w:style w:type="paragraph" w:customStyle="1" w:styleId="57">
    <w:name w:val="称呼2"/>
    <w:basedOn w:val="1"/>
    <w:next w:val="1"/>
    <w:link w:val="56"/>
    <w:qFormat/>
    <w:uiPriority w:val="0"/>
    <w:rPr>
      <w:kern w:val="2"/>
      <w:sz w:val="28"/>
      <w:szCs w:val="20"/>
      <w:lang w:bidi="ar-SA"/>
    </w:rPr>
  </w:style>
  <w:style w:type="character" w:customStyle="1" w:styleId="58">
    <w:name w:val="纯文本 Char"/>
    <w:link w:val="59"/>
    <w:qFormat/>
    <w:uiPriority w:val="0"/>
    <w:rPr>
      <w:rFonts w:ascii="宋体" w:hAnsi="宋体" w:eastAsia="宋体" w:cs="宋体"/>
      <w:kern w:val="2"/>
      <w:sz w:val="21"/>
      <w:szCs w:val="28"/>
      <w:lang w:val="en-US" w:eastAsia="zh-CN"/>
    </w:rPr>
  </w:style>
  <w:style w:type="paragraph" w:customStyle="1" w:styleId="59">
    <w:name w:val="纯文本1"/>
    <w:basedOn w:val="1"/>
    <w:link w:val="58"/>
    <w:qFormat/>
    <w:uiPriority w:val="0"/>
    <w:rPr>
      <w:rFonts w:ascii="宋体" w:hAnsi="宋体"/>
      <w:kern w:val="2"/>
      <w:sz w:val="21"/>
      <w:szCs w:val="28"/>
      <w:lang w:eastAsia="zh-CN" w:bidi="ar-SA"/>
    </w:rPr>
  </w:style>
  <w:style w:type="character" w:customStyle="1" w:styleId="60">
    <w:name w:val="正文缩进 Char"/>
    <w:link w:val="61"/>
    <w:qFormat/>
    <w:uiPriority w:val="0"/>
    <w:rPr>
      <w:rFonts w:ascii="Calibri" w:hAnsi="Calibri" w:eastAsia="宋体" w:cs="Times New Roman"/>
      <w:kern w:val="2"/>
      <w:sz w:val="21"/>
      <w:szCs w:val="22"/>
    </w:rPr>
  </w:style>
  <w:style w:type="paragraph" w:customStyle="1" w:styleId="61">
    <w:name w:val="正文缩进1"/>
    <w:basedOn w:val="1"/>
    <w:link w:val="60"/>
    <w:qFormat/>
    <w:uiPriority w:val="0"/>
    <w:pPr>
      <w:ind w:firstLine="420"/>
    </w:pPr>
    <w:rPr>
      <w:kern w:val="2"/>
      <w:sz w:val="21"/>
      <w:lang w:bidi="ar-SA"/>
    </w:rPr>
  </w:style>
  <w:style w:type="character" w:customStyle="1" w:styleId="62">
    <w:name w:val="正文文本 3 Char"/>
    <w:link w:val="63"/>
    <w:qFormat/>
    <w:uiPriority w:val="0"/>
    <w:rPr>
      <w:rFonts w:ascii="宋体" w:hAnsi="宋体"/>
      <w:b/>
      <w:bCs/>
      <w:i/>
      <w:iCs/>
      <w:kern w:val="2"/>
      <w:sz w:val="24"/>
      <w:szCs w:val="24"/>
      <w:u w:val="single"/>
    </w:rPr>
  </w:style>
  <w:style w:type="paragraph" w:customStyle="1" w:styleId="63">
    <w:name w:val="正文文本 31"/>
    <w:basedOn w:val="1"/>
    <w:link w:val="62"/>
    <w:qFormat/>
    <w:uiPriority w:val="0"/>
    <w:rPr>
      <w:rFonts w:ascii="宋体" w:hAnsi="宋体"/>
      <w:b/>
      <w:bCs/>
      <w:i/>
      <w:iCs/>
      <w:kern w:val="2"/>
      <w:sz w:val="24"/>
      <w:szCs w:val="24"/>
      <w:u w:val="single"/>
      <w:lang w:bidi="ar-SA"/>
    </w:rPr>
  </w:style>
  <w:style w:type="character" w:customStyle="1" w:styleId="64">
    <w:name w:val="电子邮件签名 Char"/>
    <w:link w:val="65"/>
    <w:qFormat/>
    <w:uiPriority w:val="0"/>
    <w:rPr>
      <w:kern w:val="2"/>
      <w:sz w:val="21"/>
      <w:szCs w:val="21"/>
    </w:rPr>
  </w:style>
  <w:style w:type="paragraph" w:customStyle="1" w:styleId="65">
    <w:name w:val="电子邮件签名1"/>
    <w:basedOn w:val="1"/>
    <w:link w:val="64"/>
    <w:qFormat/>
    <w:uiPriority w:val="0"/>
    <w:pPr>
      <w:numPr>
        <w:ilvl w:val="0"/>
        <w:numId w:val="1"/>
      </w:numPr>
      <w:ind w:left="0" w:firstLine="0"/>
    </w:pPr>
    <w:rPr>
      <w:kern w:val="2"/>
      <w:sz w:val="21"/>
      <w:szCs w:val="21"/>
      <w:lang w:bidi="ar-SA"/>
    </w:rPr>
  </w:style>
  <w:style w:type="character" w:customStyle="1" w:styleId="66">
    <w:name w:val="签名 Char"/>
    <w:link w:val="67"/>
    <w:qFormat/>
    <w:uiPriority w:val="0"/>
    <w:rPr>
      <w:rFonts w:ascii="宋体" w:hAnsi="宋体"/>
      <w:kern w:val="2"/>
      <w:sz w:val="24"/>
      <w:szCs w:val="18"/>
    </w:rPr>
  </w:style>
  <w:style w:type="paragraph" w:customStyle="1" w:styleId="67">
    <w:name w:val="签名1"/>
    <w:basedOn w:val="1"/>
    <w:link w:val="66"/>
    <w:qFormat/>
    <w:uiPriority w:val="0"/>
    <w:pPr>
      <w:spacing w:line="400" w:lineRule="exact"/>
      <w:ind w:left="100" w:leftChars="2100" w:firstLine="108"/>
    </w:pPr>
    <w:rPr>
      <w:rFonts w:ascii="宋体" w:hAnsi="宋体"/>
      <w:kern w:val="2"/>
      <w:sz w:val="24"/>
      <w:szCs w:val="18"/>
      <w:lang w:bidi="ar-SA"/>
    </w:rPr>
  </w:style>
  <w:style w:type="character" w:customStyle="1" w:styleId="68">
    <w:name w:val="正文文本 2 Char"/>
    <w:link w:val="69"/>
    <w:qFormat/>
    <w:uiPriority w:val="0"/>
    <w:rPr>
      <w:rFonts w:ascii="Futura Hv" w:hAnsi="Futura Hv"/>
      <w:color w:val="000000"/>
      <w:kern w:val="2"/>
      <w:sz w:val="48"/>
      <w:szCs w:val="64"/>
    </w:rPr>
  </w:style>
  <w:style w:type="paragraph" w:customStyle="1" w:styleId="69">
    <w:name w:val="正文文本 21"/>
    <w:basedOn w:val="1"/>
    <w:link w:val="68"/>
    <w:qFormat/>
    <w:uiPriority w:val="0"/>
    <w:pPr>
      <w:autoSpaceDE w:val="0"/>
      <w:autoSpaceDN w:val="0"/>
      <w:adjustRightInd w:val="0"/>
      <w:jc w:val="center"/>
    </w:pPr>
    <w:rPr>
      <w:rFonts w:ascii="Futura Hv" w:hAnsi="Futura Hv"/>
      <w:color w:val="000000"/>
      <w:kern w:val="2"/>
      <w:sz w:val="48"/>
      <w:szCs w:val="64"/>
      <w:lang w:bidi="ar-SA"/>
    </w:rPr>
  </w:style>
  <w:style w:type="character" w:customStyle="1" w:styleId="70">
    <w:name w:val="宏文本 Char"/>
    <w:link w:val="71"/>
    <w:qFormat/>
    <w:uiPriority w:val="0"/>
    <w:rPr>
      <w:rFonts w:ascii="Courier New" w:hAnsi="Courier New" w:cs="Courier New"/>
      <w:kern w:val="2"/>
      <w:sz w:val="24"/>
      <w:szCs w:val="24"/>
      <w:lang w:val="en-US" w:eastAsia="zh-CN" w:bidi="ar-SA"/>
    </w:rPr>
  </w:style>
  <w:style w:type="paragraph" w:customStyle="1" w:styleId="71">
    <w:name w:val="宏文本1"/>
    <w:link w:val="7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line="276" w:lineRule="auto"/>
    </w:pPr>
    <w:rPr>
      <w:rFonts w:ascii="Courier New" w:hAnsi="Courier New" w:eastAsia="宋体" w:cs="Courier New"/>
      <w:kern w:val="2"/>
      <w:sz w:val="24"/>
      <w:szCs w:val="24"/>
      <w:lang w:val="en-US" w:eastAsia="zh-CN" w:bidi="ar-SA"/>
    </w:rPr>
  </w:style>
  <w:style w:type="character" w:customStyle="1" w:styleId="72">
    <w:name w:val="注释标题 Char"/>
    <w:link w:val="73"/>
    <w:qFormat/>
    <w:uiPriority w:val="0"/>
    <w:rPr>
      <w:kern w:val="2"/>
      <w:sz w:val="21"/>
      <w:szCs w:val="21"/>
    </w:rPr>
  </w:style>
  <w:style w:type="paragraph" w:customStyle="1" w:styleId="73">
    <w:name w:val="注释标题1"/>
    <w:basedOn w:val="1"/>
    <w:next w:val="1"/>
    <w:link w:val="72"/>
    <w:qFormat/>
    <w:uiPriority w:val="0"/>
    <w:pPr>
      <w:numPr>
        <w:ilvl w:val="0"/>
        <w:numId w:val="2"/>
      </w:numPr>
      <w:ind w:left="0" w:firstLine="0"/>
      <w:jc w:val="center"/>
    </w:pPr>
    <w:rPr>
      <w:kern w:val="2"/>
      <w:sz w:val="21"/>
      <w:szCs w:val="21"/>
      <w:lang w:bidi="ar-SA"/>
    </w:rPr>
  </w:style>
  <w:style w:type="character" w:customStyle="1" w:styleId="74">
    <w:name w:val="文档结构图 Char"/>
    <w:link w:val="75"/>
    <w:qFormat/>
    <w:uiPriority w:val="0"/>
    <w:rPr>
      <w:rFonts w:ascii="宋体"/>
      <w:kern w:val="2"/>
      <w:sz w:val="18"/>
      <w:szCs w:val="18"/>
    </w:rPr>
  </w:style>
  <w:style w:type="paragraph" w:customStyle="1" w:styleId="75">
    <w:name w:val="文档结构图2"/>
    <w:basedOn w:val="1"/>
    <w:link w:val="74"/>
    <w:qFormat/>
    <w:uiPriority w:val="0"/>
    <w:rPr>
      <w:rFonts w:ascii="宋体"/>
      <w:kern w:val="2"/>
      <w:sz w:val="18"/>
      <w:szCs w:val="18"/>
      <w:lang w:bidi="ar-SA"/>
    </w:rPr>
  </w:style>
  <w:style w:type="character" w:customStyle="1" w:styleId="76">
    <w:name w:val="正文首行缩进 2 Char"/>
    <w:link w:val="77"/>
    <w:qFormat/>
    <w:uiPriority w:val="0"/>
    <w:rPr>
      <w:rFonts w:ascii="Garamond" w:hAnsi="Garamond"/>
      <w:color w:val="000000"/>
      <w:kern w:val="18"/>
      <w:sz w:val="21"/>
    </w:rPr>
  </w:style>
  <w:style w:type="paragraph" w:customStyle="1" w:styleId="77">
    <w:name w:val="正文首行缩进 21"/>
    <w:basedOn w:val="61"/>
    <w:link w:val="76"/>
    <w:qFormat/>
    <w:uiPriority w:val="0"/>
    <w:pPr>
      <w:tabs>
        <w:tab w:val="left" w:pos="0"/>
      </w:tabs>
      <w:overflowPunct w:val="0"/>
      <w:topLinePunct/>
      <w:autoSpaceDE w:val="0"/>
      <w:autoSpaceDN w:val="0"/>
      <w:adjustRightInd w:val="0"/>
      <w:spacing w:before="40" w:after="40" w:line="440" w:lineRule="exact"/>
      <w:ind w:left="360" w:right="62" w:firstLine="0"/>
      <w:textAlignment w:val="baseline"/>
    </w:pPr>
    <w:rPr>
      <w:rFonts w:ascii="Garamond" w:hAnsi="Garamond"/>
      <w:color w:val="000000"/>
      <w:kern w:val="18"/>
      <w:szCs w:val="20"/>
    </w:rPr>
  </w:style>
  <w:style w:type="character" w:customStyle="1" w:styleId="78">
    <w:name w:val="正文首行缩进 Char"/>
    <w:link w:val="79"/>
    <w:qFormat/>
    <w:uiPriority w:val="0"/>
    <w:rPr>
      <w:rFonts w:eastAsia="宋体"/>
      <w:kern w:val="2"/>
      <w:sz w:val="22"/>
      <w:szCs w:val="28"/>
      <w:lang w:val="en-US" w:eastAsia="zh-CN"/>
    </w:rPr>
  </w:style>
  <w:style w:type="paragraph" w:customStyle="1" w:styleId="79">
    <w:name w:val="正文首行缩进1"/>
    <w:basedOn w:val="1"/>
    <w:link w:val="78"/>
    <w:qFormat/>
    <w:uiPriority w:val="0"/>
    <w:pPr>
      <w:autoSpaceDE w:val="0"/>
      <w:autoSpaceDN w:val="0"/>
      <w:spacing w:after="60" w:line="400" w:lineRule="exact"/>
      <w:ind w:firstLine="476"/>
    </w:pPr>
    <w:rPr>
      <w:kern w:val="2"/>
      <w:szCs w:val="28"/>
      <w:lang w:eastAsia="zh-CN" w:bidi="ar-SA"/>
    </w:rPr>
  </w:style>
  <w:style w:type="character" w:customStyle="1" w:styleId="80">
    <w:name w:val="h31"/>
    <w:qFormat/>
    <w:uiPriority w:val="0"/>
    <w:rPr>
      <w:sz w:val="28"/>
      <w:szCs w:val="28"/>
    </w:rPr>
  </w:style>
  <w:style w:type="character" w:customStyle="1" w:styleId="81">
    <w:name w:val="批注框文本 字符"/>
    <w:link w:val="24"/>
    <w:qFormat/>
    <w:uiPriority w:val="0"/>
    <w:rPr>
      <w:rFonts w:eastAsia="宋体"/>
      <w:kern w:val="2"/>
      <w:sz w:val="18"/>
      <w:szCs w:val="18"/>
      <w:lang w:val="en-US" w:eastAsia="zh-CN"/>
    </w:rPr>
  </w:style>
  <w:style w:type="character" w:customStyle="1" w:styleId="82">
    <w:name w:val="标题 2 字符"/>
    <w:link w:val="4"/>
    <w:qFormat/>
    <w:uiPriority w:val="9"/>
    <w:rPr>
      <w:rFonts w:ascii="Cambria" w:hAnsi="Cambria" w:eastAsia="宋体" w:cs="Times New Roman"/>
      <w:b/>
      <w:bCs/>
      <w:color w:val="4F81BD"/>
      <w:sz w:val="26"/>
      <w:szCs w:val="26"/>
    </w:rPr>
  </w:style>
  <w:style w:type="character" w:customStyle="1" w:styleId="83">
    <w:name w:val="日期 字符"/>
    <w:link w:val="84"/>
    <w:qFormat/>
    <w:uiPriority w:val="0"/>
    <w:rPr>
      <w:rFonts w:eastAsia="宋体"/>
      <w:kern w:val="2"/>
      <w:sz w:val="21"/>
      <w:szCs w:val="28"/>
      <w:lang w:val="en-US" w:eastAsia="zh-CN"/>
    </w:rPr>
  </w:style>
  <w:style w:type="paragraph" w:customStyle="1" w:styleId="84">
    <w:name w:val="日期1"/>
    <w:basedOn w:val="1"/>
    <w:next w:val="1"/>
    <w:link w:val="83"/>
    <w:qFormat/>
    <w:uiPriority w:val="0"/>
    <w:rPr>
      <w:kern w:val="2"/>
      <w:sz w:val="21"/>
      <w:szCs w:val="28"/>
      <w:lang w:eastAsia="zh-CN" w:bidi="ar-SA"/>
    </w:rPr>
  </w:style>
  <w:style w:type="character" w:customStyle="1" w:styleId="85">
    <w:name w:val="标题 8 字符"/>
    <w:link w:val="10"/>
    <w:qFormat/>
    <w:uiPriority w:val="9"/>
    <w:rPr>
      <w:rFonts w:ascii="Cambria" w:hAnsi="Cambria" w:eastAsia="宋体" w:cs="Times New Roman"/>
      <w:color w:val="4F81BD"/>
      <w:sz w:val="20"/>
      <w:szCs w:val="20"/>
    </w:rPr>
  </w:style>
  <w:style w:type="character" w:customStyle="1" w:styleId="86">
    <w:name w:val="smgraytext1"/>
    <w:qFormat/>
    <w:uiPriority w:val="0"/>
    <w:rPr>
      <w:color w:val="666666"/>
    </w:rPr>
  </w:style>
  <w:style w:type="character" w:customStyle="1" w:styleId="87">
    <w:name w:val="HTML 预设格式 Char1"/>
    <w:qFormat/>
    <w:uiPriority w:val="0"/>
    <w:rPr>
      <w:rFonts w:ascii="Courier New" w:hAnsi="Courier New" w:cs="Courier New"/>
      <w:kern w:val="2"/>
    </w:rPr>
  </w:style>
  <w:style w:type="character" w:customStyle="1" w:styleId="88">
    <w:name w:val="正文（首行缩进两字） Char1"/>
    <w:qFormat/>
    <w:uiPriority w:val="0"/>
    <w:rPr>
      <w:rFonts w:ascii="宋体" w:hAnsi="宋体" w:eastAsia="宋体"/>
      <w:sz w:val="24"/>
      <w:szCs w:val="24"/>
      <w:lang w:val="en-US" w:eastAsia="zh-CN"/>
    </w:rPr>
  </w:style>
  <w:style w:type="character" w:customStyle="1" w:styleId="89">
    <w:name w:val="javascript"/>
    <w:basedOn w:val="39"/>
    <w:qFormat/>
    <w:uiPriority w:val="0"/>
  </w:style>
  <w:style w:type="character" w:customStyle="1" w:styleId="90">
    <w:name w:val="ibm-item-note"/>
    <w:basedOn w:val="39"/>
    <w:qFormat/>
    <w:uiPriority w:val="0"/>
  </w:style>
  <w:style w:type="character" w:customStyle="1" w:styleId="91">
    <w:name w:val="信息标题 Char1"/>
    <w:qFormat/>
    <w:uiPriority w:val="0"/>
    <w:rPr>
      <w:rFonts w:ascii="Cambria" w:hAnsi="Cambria" w:eastAsia="宋体" w:cs="Times New Roman"/>
      <w:kern w:val="2"/>
      <w:sz w:val="24"/>
      <w:szCs w:val="24"/>
      <w:shd w:val="pct20" w:color="auto" w:fill="auto"/>
    </w:rPr>
  </w:style>
  <w:style w:type="character" w:customStyle="1" w:styleId="92">
    <w:name w:val="标题 2 Char1"/>
    <w:qFormat/>
    <w:uiPriority w:val="0"/>
    <w:rPr>
      <w:rFonts w:ascii="Arial" w:hAnsi="Arial" w:eastAsia="黑体"/>
      <w:b/>
      <w:bCs/>
      <w:sz w:val="30"/>
      <w:szCs w:val="30"/>
    </w:rPr>
  </w:style>
  <w:style w:type="character" w:customStyle="1" w:styleId="93">
    <w:name w:val="正文文本 字符"/>
    <w:link w:val="2"/>
    <w:qFormat/>
    <w:uiPriority w:val="0"/>
    <w:rPr>
      <w:rFonts w:eastAsia="宋体"/>
      <w:kern w:val="2"/>
      <w:sz w:val="24"/>
      <w:szCs w:val="28"/>
      <w:lang w:val="en-US" w:eastAsia="zh-CN"/>
    </w:rPr>
  </w:style>
  <w:style w:type="character" w:customStyle="1" w:styleId="94">
    <w:name w:val="black101"/>
    <w:qFormat/>
    <w:uiPriority w:val="0"/>
    <w:rPr>
      <w:rFonts w:hint="default" w:ascii="Verdana" w:hAnsi="Verdana"/>
      <w:color w:val="000000"/>
      <w:sz w:val="15"/>
      <w:szCs w:val="15"/>
      <w:u w:val="none"/>
    </w:rPr>
  </w:style>
  <w:style w:type="character" w:customStyle="1" w:styleId="95">
    <w:name w:val="greytext1"/>
    <w:qFormat/>
    <w:uiPriority w:val="0"/>
    <w:rPr>
      <w:color w:val="666666"/>
    </w:rPr>
  </w:style>
  <w:style w:type="character" w:customStyle="1" w:styleId="96">
    <w:name w:val="Map Char"/>
    <w:qFormat/>
    <w:uiPriority w:val="0"/>
    <w:rPr>
      <w:rFonts w:ascii="宋体" w:hAnsi="宋体" w:eastAsia="宋体"/>
      <w:b/>
      <w:kern w:val="28"/>
      <w:sz w:val="30"/>
    </w:rPr>
  </w:style>
  <w:style w:type="character" w:customStyle="1" w:styleId="97">
    <w:name w:val="h21"/>
    <w:qFormat/>
    <w:uiPriority w:val="0"/>
    <w:rPr>
      <w:spacing w:val="200"/>
      <w:sz w:val="19"/>
      <w:szCs w:val="19"/>
    </w:rPr>
  </w:style>
  <w:style w:type="character" w:customStyle="1" w:styleId="98">
    <w:name w:val="1char"/>
    <w:basedOn w:val="39"/>
    <w:qFormat/>
    <w:uiPriority w:val="0"/>
  </w:style>
  <w:style w:type="character" w:customStyle="1" w:styleId="99">
    <w:name w:val="HTML 地址 Char1"/>
    <w:qFormat/>
    <w:uiPriority w:val="0"/>
    <w:rPr>
      <w:i/>
      <w:iCs/>
      <w:kern w:val="2"/>
      <w:sz w:val="21"/>
    </w:rPr>
  </w:style>
  <w:style w:type="character" w:customStyle="1" w:styleId="100">
    <w:name w:val="注释标题 Char1"/>
    <w:qFormat/>
    <w:uiPriority w:val="0"/>
    <w:rPr>
      <w:kern w:val="2"/>
      <w:sz w:val="21"/>
    </w:rPr>
  </w:style>
  <w:style w:type="character" w:customStyle="1" w:styleId="101">
    <w:name w:val="正文文本缩进 2 字符"/>
    <w:link w:val="102"/>
    <w:qFormat/>
    <w:uiPriority w:val="0"/>
    <w:rPr>
      <w:rFonts w:ascii="宋体" w:hAnsi="宋体" w:eastAsia="宋体" w:cs="宋体"/>
      <w:b/>
      <w:bCs/>
      <w:kern w:val="2"/>
      <w:sz w:val="24"/>
      <w:szCs w:val="28"/>
      <w:lang w:val="en-US" w:eastAsia="zh-CN"/>
    </w:rPr>
  </w:style>
  <w:style w:type="paragraph" w:customStyle="1" w:styleId="102">
    <w:name w:val="正文文本缩进 21"/>
    <w:basedOn w:val="1"/>
    <w:link w:val="101"/>
    <w:qFormat/>
    <w:uiPriority w:val="0"/>
    <w:pPr>
      <w:adjustRightInd w:val="0"/>
      <w:spacing w:line="360" w:lineRule="auto"/>
      <w:ind w:firstLine="175" w:firstLineChars="175"/>
    </w:pPr>
    <w:rPr>
      <w:rFonts w:ascii="宋体" w:hAnsi="宋体"/>
      <w:b/>
      <w:bCs/>
      <w:kern w:val="2"/>
      <w:sz w:val="24"/>
      <w:szCs w:val="28"/>
      <w:lang w:eastAsia="zh-CN" w:bidi="ar-SA"/>
    </w:rPr>
  </w:style>
  <w:style w:type="character" w:customStyle="1" w:styleId="103">
    <w:name w:val="my-style1"/>
    <w:qFormat/>
    <w:uiPriority w:val="0"/>
    <w:rPr>
      <w:color w:val="000000"/>
      <w:sz w:val="20"/>
      <w:szCs w:val="20"/>
    </w:rPr>
  </w:style>
  <w:style w:type="character" w:customStyle="1" w:styleId="104">
    <w:name w:val="尾注文本 Char1"/>
    <w:qFormat/>
    <w:uiPriority w:val="0"/>
    <w:rPr>
      <w:kern w:val="2"/>
      <w:sz w:val="21"/>
    </w:rPr>
  </w:style>
  <w:style w:type="character" w:customStyle="1" w:styleId="105">
    <w:name w:val="EmailStyle357"/>
    <w:qFormat/>
    <w:uiPriority w:val="0"/>
    <w:rPr>
      <w:rFonts w:ascii="Arial" w:hAnsi="Arial" w:eastAsia="宋体" w:cs="Arial"/>
      <w:color w:val="auto"/>
      <w:sz w:val="18"/>
      <w:szCs w:val="20"/>
    </w:rPr>
  </w:style>
  <w:style w:type="character" w:customStyle="1" w:styleId="106">
    <w:name w:val="标题 1 字符"/>
    <w:link w:val="3"/>
    <w:qFormat/>
    <w:uiPriority w:val="9"/>
    <w:rPr>
      <w:rFonts w:ascii="Cambria" w:hAnsi="Cambria" w:eastAsia="宋体" w:cs="Times New Roman"/>
      <w:b/>
      <w:bCs/>
      <w:color w:val="365F91"/>
      <w:sz w:val="28"/>
      <w:szCs w:val="28"/>
    </w:rPr>
  </w:style>
  <w:style w:type="character" w:customStyle="1" w:styleId="107">
    <w:name w:val="纯文本 Char1"/>
    <w:link w:val="108"/>
    <w:qFormat/>
    <w:uiPriority w:val="0"/>
    <w:rPr>
      <w:rFonts w:ascii="宋体" w:hAnsi="Courier New" w:cs="Courier New"/>
      <w:kern w:val="2"/>
      <w:sz w:val="21"/>
      <w:szCs w:val="21"/>
    </w:rPr>
  </w:style>
  <w:style w:type="paragraph" w:customStyle="1" w:styleId="108">
    <w:name w:val="纯文本2"/>
    <w:basedOn w:val="1"/>
    <w:link w:val="107"/>
    <w:qFormat/>
    <w:uiPriority w:val="0"/>
    <w:rPr>
      <w:rFonts w:ascii="宋体" w:hAnsi="Courier New"/>
      <w:kern w:val="2"/>
      <w:sz w:val="21"/>
      <w:szCs w:val="21"/>
      <w:lang w:bidi="ar-SA"/>
    </w:rPr>
  </w:style>
  <w:style w:type="character" w:customStyle="1" w:styleId="109">
    <w:name w:val="Char Char14"/>
    <w:qFormat/>
    <w:uiPriority w:val="0"/>
    <w:rPr>
      <w:rFonts w:ascii="Times New Roman" w:hAnsi="Times New Roman" w:eastAsia="宋体" w:cs="Times New Roman"/>
      <w:b/>
      <w:kern w:val="44"/>
      <w:sz w:val="44"/>
    </w:rPr>
  </w:style>
  <w:style w:type="character" w:customStyle="1" w:styleId="110">
    <w:name w:val="标题 6 字符"/>
    <w:link w:val="8"/>
    <w:qFormat/>
    <w:uiPriority w:val="9"/>
    <w:rPr>
      <w:rFonts w:ascii="Cambria" w:hAnsi="Cambria" w:eastAsia="宋体" w:cs="Times New Roman"/>
      <w:i/>
      <w:iCs/>
      <w:color w:val="243F60"/>
    </w:rPr>
  </w:style>
  <w:style w:type="character" w:customStyle="1" w:styleId="111">
    <w:name w:val="正文文本缩进 3 字符"/>
    <w:link w:val="112"/>
    <w:qFormat/>
    <w:uiPriority w:val="0"/>
    <w:rPr>
      <w:rFonts w:eastAsia="宋体"/>
      <w:kern w:val="2"/>
      <w:sz w:val="21"/>
      <w:szCs w:val="21"/>
      <w:lang w:val="en-US" w:eastAsia="zh-CN"/>
    </w:rPr>
  </w:style>
  <w:style w:type="paragraph" w:customStyle="1" w:styleId="112">
    <w:name w:val="正文文本缩进 31"/>
    <w:basedOn w:val="1"/>
    <w:link w:val="111"/>
    <w:qFormat/>
    <w:uiPriority w:val="0"/>
    <w:pPr>
      <w:spacing w:afterLines="50"/>
      <w:ind w:firstLine="200" w:firstLineChars="200"/>
    </w:pPr>
    <w:rPr>
      <w:kern w:val="2"/>
      <w:sz w:val="21"/>
      <w:szCs w:val="21"/>
      <w:lang w:eastAsia="zh-CN" w:bidi="ar-SA"/>
    </w:rPr>
  </w:style>
  <w:style w:type="character" w:customStyle="1" w:styleId="113">
    <w:name w:val="小标题 Char Char"/>
    <w:link w:val="114"/>
    <w:qFormat/>
    <w:uiPriority w:val="0"/>
    <w:rPr>
      <w:b/>
      <w:color w:val="000000"/>
      <w:sz w:val="24"/>
      <w:szCs w:val="24"/>
    </w:rPr>
  </w:style>
  <w:style w:type="paragraph" w:customStyle="1" w:styleId="114">
    <w:name w:val="小标题"/>
    <w:basedOn w:val="1"/>
    <w:next w:val="61"/>
    <w:link w:val="113"/>
    <w:qFormat/>
    <w:uiPriority w:val="0"/>
    <w:pPr>
      <w:numPr>
        <w:ilvl w:val="0"/>
        <w:numId w:val="3"/>
      </w:numPr>
      <w:adjustRightInd w:val="0"/>
      <w:snapToGrid w:val="0"/>
      <w:spacing w:before="60" w:afterLines="50" w:line="360" w:lineRule="auto"/>
    </w:pPr>
    <w:rPr>
      <w:b/>
      <w:color w:val="000000"/>
      <w:sz w:val="24"/>
      <w:szCs w:val="24"/>
      <w:lang w:bidi="ar-SA"/>
    </w:rPr>
  </w:style>
  <w:style w:type="character" w:customStyle="1" w:styleId="115">
    <w:name w:val="批注文字 字符"/>
    <w:link w:val="15"/>
    <w:qFormat/>
    <w:uiPriority w:val="0"/>
    <w:rPr>
      <w:rFonts w:eastAsia="宋体"/>
      <w:kern w:val="2"/>
      <w:sz w:val="21"/>
      <w:szCs w:val="28"/>
      <w:lang w:val="en-US" w:eastAsia="zh-CN"/>
    </w:rPr>
  </w:style>
  <w:style w:type="character" w:customStyle="1" w:styleId="116">
    <w:name w:val="msoins"/>
    <w:qFormat/>
    <w:uiPriority w:val="0"/>
    <w:rPr>
      <w:u w:val="single"/>
    </w:rPr>
  </w:style>
  <w:style w:type="character" w:customStyle="1" w:styleId="117">
    <w:name w:val="标题 4 字符"/>
    <w:link w:val="6"/>
    <w:qFormat/>
    <w:uiPriority w:val="9"/>
    <w:rPr>
      <w:rFonts w:ascii="Cambria" w:hAnsi="Cambria" w:eastAsia="宋体" w:cs="Times New Roman"/>
      <w:b/>
      <w:bCs/>
      <w:i/>
      <w:iCs/>
      <w:color w:val="4F81BD"/>
    </w:rPr>
  </w:style>
  <w:style w:type="character" w:customStyle="1" w:styleId="118">
    <w:name w:val="标题 3 字符"/>
    <w:link w:val="5"/>
    <w:qFormat/>
    <w:uiPriority w:val="9"/>
    <w:rPr>
      <w:rFonts w:ascii="Cambria" w:hAnsi="Cambria" w:eastAsia="宋体" w:cs="Times New Roman"/>
      <w:b/>
      <w:bCs/>
      <w:color w:val="4F81BD"/>
    </w:rPr>
  </w:style>
  <w:style w:type="character" w:customStyle="1" w:styleId="119">
    <w:name w:val="批注引用2"/>
    <w:qFormat/>
    <w:uiPriority w:val="0"/>
    <w:rPr>
      <w:sz w:val="21"/>
      <w:szCs w:val="21"/>
    </w:rPr>
  </w:style>
  <w:style w:type="character" w:customStyle="1" w:styleId="120">
    <w:name w:val="text1"/>
    <w:qFormat/>
    <w:uiPriority w:val="0"/>
    <w:rPr>
      <w:color w:val="14265C"/>
      <w:sz w:val="18"/>
      <w:szCs w:val="18"/>
      <w:u w:val="none"/>
    </w:rPr>
  </w:style>
  <w:style w:type="character" w:customStyle="1" w:styleId="121">
    <w:name w:val="small"/>
    <w:basedOn w:val="39"/>
    <w:qFormat/>
    <w:uiPriority w:val="0"/>
  </w:style>
  <w:style w:type="character" w:customStyle="1" w:styleId="122">
    <w:name w:val="p92"/>
    <w:basedOn w:val="39"/>
    <w:qFormat/>
    <w:uiPriority w:val="0"/>
  </w:style>
  <w:style w:type="character" w:customStyle="1" w:styleId="123">
    <w:name w:val="电子邮件签名 Char1"/>
    <w:qFormat/>
    <w:uiPriority w:val="0"/>
    <w:rPr>
      <w:kern w:val="2"/>
      <w:sz w:val="21"/>
    </w:rPr>
  </w:style>
  <w:style w:type="character" w:customStyle="1" w:styleId="124">
    <w:name w:val="脚注文本 字符"/>
    <w:link w:val="30"/>
    <w:qFormat/>
    <w:uiPriority w:val="0"/>
    <w:rPr>
      <w:kern w:val="2"/>
      <w:sz w:val="18"/>
      <w:szCs w:val="18"/>
    </w:rPr>
  </w:style>
  <w:style w:type="character" w:customStyle="1" w:styleId="125">
    <w:name w:val="样式 左侧:  0.74 厘米 行距: 1.5 倍行距 Char Char"/>
    <w:link w:val="126"/>
    <w:qFormat/>
    <w:uiPriority w:val="0"/>
    <w:rPr>
      <w:sz w:val="24"/>
      <w:szCs w:val="24"/>
    </w:rPr>
  </w:style>
  <w:style w:type="paragraph" w:customStyle="1" w:styleId="126">
    <w:name w:val="样式 左侧:  0.74 厘米 行距: 1.5 倍行距"/>
    <w:basedOn w:val="1"/>
    <w:link w:val="125"/>
    <w:qFormat/>
    <w:uiPriority w:val="0"/>
    <w:pPr>
      <w:spacing w:line="360" w:lineRule="auto"/>
      <w:ind w:firstLine="360" w:firstLineChars="150"/>
    </w:pPr>
    <w:rPr>
      <w:sz w:val="24"/>
      <w:szCs w:val="24"/>
      <w:lang w:bidi="ar-SA"/>
    </w:rPr>
  </w:style>
  <w:style w:type="character" w:customStyle="1" w:styleId="127">
    <w:name w:val="z-窗体顶端 Char"/>
    <w:link w:val="128"/>
    <w:qFormat/>
    <w:uiPriority w:val="0"/>
    <w:rPr>
      <w:rFonts w:ascii="Arial" w:hAnsi="Arial" w:cs="Arial"/>
      <w:vanish/>
      <w:sz w:val="16"/>
      <w:szCs w:val="16"/>
    </w:rPr>
  </w:style>
  <w:style w:type="paragraph" w:customStyle="1" w:styleId="128">
    <w:name w:val="z-窗体顶端1"/>
    <w:basedOn w:val="1"/>
    <w:next w:val="1"/>
    <w:link w:val="127"/>
    <w:qFormat/>
    <w:uiPriority w:val="0"/>
    <w:pPr>
      <w:pBdr>
        <w:bottom w:val="single" w:color="auto" w:sz="6" w:space="1"/>
      </w:pBdr>
      <w:jc w:val="center"/>
    </w:pPr>
    <w:rPr>
      <w:rFonts w:ascii="Arial" w:hAnsi="Arial"/>
      <w:vanish/>
      <w:sz w:val="16"/>
      <w:szCs w:val="16"/>
      <w:lang w:bidi="ar-SA"/>
    </w:rPr>
  </w:style>
  <w:style w:type="character" w:customStyle="1" w:styleId="129">
    <w:name w:val="msonormal"/>
    <w:basedOn w:val="39"/>
    <w:qFormat/>
    <w:uiPriority w:val="0"/>
  </w:style>
  <w:style w:type="character" w:customStyle="1" w:styleId="130">
    <w:name w:val="页眉 字符"/>
    <w:link w:val="26"/>
    <w:qFormat/>
    <w:uiPriority w:val="0"/>
    <w:rPr>
      <w:rFonts w:eastAsia="宋体"/>
      <w:kern w:val="2"/>
      <w:sz w:val="18"/>
      <w:szCs w:val="18"/>
      <w:lang w:val="en-US" w:eastAsia="zh-CN"/>
    </w:rPr>
  </w:style>
  <w:style w:type="character" w:customStyle="1" w:styleId="131">
    <w:name w:val="标题 9 字符"/>
    <w:link w:val="11"/>
    <w:qFormat/>
    <w:uiPriority w:val="9"/>
    <w:rPr>
      <w:rFonts w:ascii="Cambria" w:hAnsi="Cambria" w:eastAsia="宋体" w:cs="Times New Roman"/>
      <w:i/>
      <w:iCs/>
      <w:color w:val="404040"/>
      <w:sz w:val="20"/>
      <w:szCs w:val="20"/>
    </w:rPr>
  </w:style>
  <w:style w:type="character" w:customStyle="1" w:styleId="132">
    <w:name w:val="页码1"/>
    <w:qFormat/>
    <w:uiPriority w:val="0"/>
    <w:rPr>
      <w:rFonts w:cs="Times New Roman"/>
    </w:rPr>
  </w:style>
  <w:style w:type="character" w:customStyle="1" w:styleId="133">
    <w:name w:val="z-窗体底端 Char"/>
    <w:link w:val="134"/>
    <w:qFormat/>
    <w:uiPriority w:val="0"/>
    <w:rPr>
      <w:rFonts w:ascii="Arial" w:hAnsi="Arial" w:cs="Arial"/>
      <w:vanish/>
      <w:sz w:val="16"/>
      <w:szCs w:val="16"/>
    </w:rPr>
  </w:style>
  <w:style w:type="paragraph" w:customStyle="1" w:styleId="134">
    <w:name w:val="z-窗体底端1"/>
    <w:basedOn w:val="1"/>
    <w:next w:val="1"/>
    <w:link w:val="133"/>
    <w:qFormat/>
    <w:uiPriority w:val="0"/>
    <w:pPr>
      <w:pBdr>
        <w:top w:val="single" w:color="auto" w:sz="6" w:space="1"/>
      </w:pBdr>
      <w:jc w:val="center"/>
    </w:pPr>
    <w:rPr>
      <w:rFonts w:ascii="Arial" w:hAnsi="Arial"/>
      <w:vanish/>
      <w:sz w:val="16"/>
      <w:szCs w:val="16"/>
      <w:lang w:bidi="ar-SA"/>
    </w:rPr>
  </w:style>
  <w:style w:type="character" w:customStyle="1" w:styleId="135">
    <w:name w:val="标题 字符"/>
    <w:link w:val="35"/>
    <w:qFormat/>
    <w:uiPriority w:val="10"/>
    <w:rPr>
      <w:rFonts w:ascii="Cambria" w:hAnsi="Cambria" w:eastAsia="宋体" w:cs="Times New Roman"/>
      <w:color w:val="17365D"/>
      <w:spacing w:val="5"/>
      <w:kern w:val="28"/>
      <w:sz w:val="52"/>
      <w:szCs w:val="52"/>
    </w:rPr>
  </w:style>
  <w:style w:type="character" w:customStyle="1" w:styleId="136">
    <w:name w:val="正文文本缩进 Char Char"/>
    <w:link w:val="137"/>
    <w:qFormat/>
    <w:uiPriority w:val="0"/>
    <w:rPr>
      <w:rFonts w:eastAsia="宋体"/>
      <w:b/>
      <w:kern w:val="2"/>
      <w:sz w:val="24"/>
      <w:szCs w:val="28"/>
      <w:lang w:val="en-US" w:eastAsia="zh-CN"/>
    </w:rPr>
  </w:style>
  <w:style w:type="paragraph" w:customStyle="1" w:styleId="137">
    <w:name w:val="正文文本缩进1"/>
    <w:basedOn w:val="1"/>
    <w:link w:val="136"/>
    <w:qFormat/>
    <w:uiPriority w:val="0"/>
    <w:pPr>
      <w:ind w:firstLine="444"/>
    </w:pPr>
    <w:rPr>
      <w:b/>
      <w:kern w:val="2"/>
      <w:sz w:val="24"/>
      <w:szCs w:val="28"/>
      <w:lang w:eastAsia="zh-CN" w:bidi="ar-SA"/>
    </w:rPr>
  </w:style>
  <w:style w:type="character" w:customStyle="1" w:styleId="138">
    <w:name w:val="结束语 Char1"/>
    <w:qFormat/>
    <w:uiPriority w:val="0"/>
    <w:rPr>
      <w:kern w:val="2"/>
      <w:sz w:val="21"/>
    </w:rPr>
  </w:style>
  <w:style w:type="character" w:customStyle="1" w:styleId="139">
    <w:name w:val="tw4winMark"/>
    <w:qFormat/>
    <w:uiPriority w:val="0"/>
    <w:rPr>
      <w:rFonts w:ascii="Times New Roman" w:hAnsi="Times New Roman" w:cs="Times New Roman"/>
      <w:vanish/>
      <w:color w:val="800080"/>
      <w:sz w:val="24"/>
      <w:szCs w:val="24"/>
      <w:vertAlign w:val="subscript"/>
    </w:rPr>
  </w:style>
  <w:style w:type="character" w:customStyle="1" w:styleId="140">
    <w:name w:val="标题 7 字符"/>
    <w:link w:val="9"/>
    <w:qFormat/>
    <w:uiPriority w:val="9"/>
    <w:rPr>
      <w:rFonts w:ascii="Cambria" w:hAnsi="Cambria" w:eastAsia="宋体" w:cs="Times New Roman"/>
      <w:i/>
      <w:iCs/>
      <w:color w:val="404040"/>
    </w:rPr>
  </w:style>
  <w:style w:type="character" w:customStyle="1" w:styleId="141">
    <w:name w:val="页脚 字符"/>
    <w:link w:val="25"/>
    <w:qFormat/>
    <w:uiPriority w:val="0"/>
    <w:rPr>
      <w:rFonts w:eastAsia="宋体"/>
      <w:kern w:val="2"/>
      <w:sz w:val="18"/>
      <w:szCs w:val="28"/>
      <w:lang w:val="en-US" w:eastAsia="zh-CN"/>
    </w:rPr>
  </w:style>
  <w:style w:type="character" w:customStyle="1" w:styleId="142">
    <w:name w:val="bold"/>
    <w:basedOn w:val="39"/>
    <w:qFormat/>
    <w:uiPriority w:val="0"/>
  </w:style>
  <w:style w:type="character" w:customStyle="1" w:styleId="143">
    <w:name w:val="样式 首行缩进:  2 字符 Char Char"/>
    <w:qFormat/>
    <w:uiPriority w:val="0"/>
    <w:rPr>
      <w:rFonts w:cs="宋体"/>
      <w:sz w:val="24"/>
      <w:lang w:val="en-US"/>
    </w:rPr>
  </w:style>
  <w:style w:type="character" w:customStyle="1" w:styleId="144">
    <w:name w:val="批注引用1"/>
    <w:qFormat/>
    <w:uiPriority w:val="0"/>
    <w:rPr>
      <w:sz w:val="21"/>
    </w:rPr>
  </w:style>
  <w:style w:type="character" w:customStyle="1" w:styleId="145">
    <w:name w:val="style4"/>
    <w:basedOn w:val="39"/>
    <w:qFormat/>
    <w:uiPriority w:val="0"/>
  </w:style>
  <w:style w:type="character" w:customStyle="1" w:styleId="146">
    <w:name w:val="wenben21"/>
    <w:qFormat/>
    <w:uiPriority w:val="0"/>
    <w:rPr>
      <w:rFonts w:hint="default"/>
      <w:color w:val="003399"/>
      <w:sz w:val="21"/>
      <w:szCs w:val="21"/>
    </w:rPr>
  </w:style>
  <w:style w:type="character" w:customStyle="1" w:styleId="147">
    <w:name w:val="表格非标题文字 Char Char"/>
    <w:link w:val="148"/>
    <w:qFormat/>
    <w:uiPriority w:val="0"/>
    <w:rPr>
      <w:rFonts w:ascii="Futura Bk" w:hAnsi="Futura Bk"/>
      <w:kern w:val="2"/>
      <w:sz w:val="18"/>
      <w:szCs w:val="21"/>
      <w:lang w:val="en-US" w:eastAsia="zh-CN" w:bidi="ar-SA"/>
    </w:rPr>
  </w:style>
  <w:style w:type="paragraph" w:customStyle="1" w:styleId="148">
    <w:name w:val="表格非标题文字"/>
    <w:link w:val="147"/>
    <w:qFormat/>
    <w:uiPriority w:val="0"/>
    <w:pPr>
      <w:snapToGrid w:val="0"/>
      <w:spacing w:before="80" w:after="40" w:line="276" w:lineRule="auto"/>
    </w:pPr>
    <w:rPr>
      <w:rFonts w:ascii="Futura Bk" w:hAnsi="Futura Bk" w:eastAsia="宋体" w:cs="Times New Roman"/>
      <w:kern w:val="2"/>
      <w:sz w:val="18"/>
      <w:szCs w:val="21"/>
      <w:lang w:val="en-US" w:eastAsia="zh-CN" w:bidi="ar-SA"/>
    </w:rPr>
  </w:style>
  <w:style w:type="character" w:customStyle="1" w:styleId="149">
    <w:name w:val="正文首行缩进两字 Char Char"/>
    <w:link w:val="150"/>
    <w:qFormat/>
    <w:uiPriority w:val="0"/>
    <w:rPr>
      <w:rFonts w:ascii="宋体" w:hAnsi="宋体"/>
      <w:kern w:val="2"/>
      <w:sz w:val="24"/>
      <w:szCs w:val="24"/>
      <w:lang w:val="en-US" w:eastAsia="zh-CN" w:bidi="ar-SA"/>
    </w:rPr>
  </w:style>
  <w:style w:type="paragraph" w:customStyle="1" w:styleId="150">
    <w:name w:val="正文首行缩进两字"/>
    <w:link w:val="149"/>
    <w:qFormat/>
    <w:uiPriority w:val="0"/>
    <w:pPr>
      <w:spacing w:afterLines="50" w:line="300" w:lineRule="auto"/>
      <w:ind w:left="480"/>
    </w:pPr>
    <w:rPr>
      <w:rFonts w:ascii="宋体" w:hAnsi="宋体" w:eastAsia="宋体" w:cs="Times New Roman"/>
      <w:kern w:val="2"/>
      <w:sz w:val="24"/>
      <w:szCs w:val="24"/>
      <w:lang w:val="en-US" w:eastAsia="zh-CN" w:bidi="ar-SA"/>
    </w:rPr>
  </w:style>
  <w:style w:type="character" w:customStyle="1" w:styleId="151">
    <w:name w:val="style21 style20"/>
    <w:basedOn w:val="39"/>
    <w:qFormat/>
    <w:uiPriority w:val="0"/>
  </w:style>
  <w:style w:type="character" w:customStyle="1" w:styleId="152">
    <w:name w:val="biaoti1"/>
    <w:qFormat/>
    <w:uiPriority w:val="0"/>
    <w:rPr>
      <w:b/>
      <w:bCs/>
      <w:sz w:val="21"/>
      <w:szCs w:val="21"/>
    </w:rPr>
  </w:style>
  <w:style w:type="character" w:customStyle="1" w:styleId="153">
    <w:name w:val="dhcc2 Char Char Char"/>
    <w:link w:val="154"/>
    <w:qFormat/>
    <w:uiPriority w:val="0"/>
    <w:rPr>
      <w:rFonts w:ascii="宋体" w:hAnsi="宋体"/>
      <w:sz w:val="24"/>
      <w:szCs w:val="21"/>
    </w:rPr>
  </w:style>
  <w:style w:type="paragraph" w:customStyle="1" w:styleId="154">
    <w:name w:val="dhcc2 Char"/>
    <w:basedOn w:val="1"/>
    <w:link w:val="153"/>
    <w:qFormat/>
    <w:uiPriority w:val="0"/>
    <w:pPr>
      <w:snapToGrid w:val="0"/>
      <w:spacing w:line="360" w:lineRule="auto"/>
      <w:ind w:firstLine="420"/>
    </w:pPr>
    <w:rPr>
      <w:rFonts w:ascii="宋体" w:hAnsi="宋体"/>
      <w:sz w:val="24"/>
      <w:szCs w:val="21"/>
      <w:lang w:bidi="ar-SA"/>
    </w:rPr>
  </w:style>
  <w:style w:type="character" w:customStyle="1" w:styleId="155">
    <w:name w:val="批注主题 字符"/>
    <w:link w:val="156"/>
    <w:qFormat/>
    <w:uiPriority w:val="0"/>
    <w:rPr>
      <w:rFonts w:eastAsia="宋体"/>
      <w:b/>
      <w:bCs/>
      <w:kern w:val="2"/>
      <w:sz w:val="21"/>
      <w:szCs w:val="28"/>
      <w:lang w:val="en-US" w:eastAsia="zh-CN"/>
    </w:rPr>
  </w:style>
  <w:style w:type="paragraph" w:customStyle="1" w:styleId="156">
    <w:name w:val="批注主题1"/>
    <w:basedOn w:val="15"/>
    <w:next w:val="15"/>
    <w:link w:val="155"/>
    <w:qFormat/>
    <w:uiPriority w:val="0"/>
    <w:rPr>
      <w:b/>
      <w:bCs/>
    </w:rPr>
  </w:style>
  <w:style w:type="character" w:customStyle="1" w:styleId="157">
    <w:name w:val="样式 DHCC 公司正文首行缩进:  2 字符 Char Char"/>
    <w:qFormat/>
    <w:uiPriority w:val="0"/>
    <w:rPr>
      <w:rFonts w:ascii="宋体" w:eastAsia="宋体"/>
      <w:sz w:val="21"/>
      <w:lang w:val="zh-CN" w:eastAsia="zh-CN"/>
    </w:rPr>
  </w:style>
  <w:style w:type="character" w:customStyle="1" w:styleId="158">
    <w:name w:val="访问过的超链接1"/>
    <w:qFormat/>
    <w:uiPriority w:val="0"/>
    <w:rPr>
      <w:color w:val="800080"/>
      <w:u w:val="single"/>
    </w:rPr>
  </w:style>
  <w:style w:type="character" w:customStyle="1" w:styleId="159">
    <w:name w:val="section1"/>
    <w:basedOn w:val="39"/>
    <w:qFormat/>
    <w:uiPriority w:val="0"/>
  </w:style>
  <w:style w:type="character" w:customStyle="1" w:styleId="160">
    <w:name w:val="white1"/>
    <w:qFormat/>
    <w:uiPriority w:val="0"/>
    <w:rPr>
      <w:color w:val="FCFEFC"/>
      <w:sz w:val="18"/>
      <w:szCs w:val="18"/>
    </w:rPr>
  </w:style>
  <w:style w:type="character" w:customStyle="1" w:styleId="161">
    <w:name w:val="ibm-item-note-alternate"/>
    <w:basedOn w:val="39"/>
    <w:qFormat/>
    <w:uiPriority w:val="0"/>
  </w:style>
  <w:style w:type="character" w:customStyle="1" w:styleId="162">
    <w:name w:val="副标题 字符"/>
    <w:link w:val="29"/>
    <w:qFormat/>
    <w:uiPriority w:val="11"/>
    <w:rPr>
      <w:rFonts w:ascii="Cambria" w:hAnsi="Cambria" w:eastAsia="宋体" w:cs="Times New Roman"/>
      <w:i/>
      <w:iCs/>
      <w:color w:val="4F81BD"/>
      <w:spacing w:val="15"/>
      <w:sz w:val="24"/>
      <w:szCs w:val="24"/>
    </w:rPr>
  </w:style>
  <w:style w:type="character" w:customStyle="1" w:styleId="163">
    <w:name w:val="第一段落（1） Char Char"/>
    <w:link w:val="164"/>
    <w:qFormat/>
    <w:uiPriority w:val="0"/>
    <w:rPr>
      <w:bCs/>
      <w:sz w:val="24"/>
      <w:szCs w:val="24"/>
    </w:rPr>
  </w:style>
  <w:style w:type="paragraph" w:customStyle="1" w:styleId="164">
    <w:name w:val="第一段落（1）"/>
    <w:basedOn w:val="165"/>
    <w:link w:val="163"/>
    <w:qFormat/>
    <w:uiPriority w:val="0"/>
    <w:pPr>
      <w:tabs>
        <w:tab w:val="left" w:pos="420"/>
      </w:tabs>
      <w:ind w:right="240" w:rightChars="100" w:firstLine="0" w:firstLineChars="0"/>
    </w:pPr>
    <w:rPr>
      <w:lang w:bidi="ar-SA"/>
    </w:rPr>
  </w:style>
  <w:style w:type="paragraph" w:customStyle="1" w:styleId="165">
    <w:name w:val="正文符号2"/>
    <w:basedOn w:val="1"/>
    <w:qFormat/>
    <w:uiPriority w:val="0"/>
    <w:pPr>
      <w:tabs>
        <w:tab w:val="left" w:pos="420"/>
      </w:tabs>
      <w:autoSpaceDE w:val="0"/>
      <w:autoSpaceDN w:val="0"/>
      <w:adjustRightInd w:val="0"/>
      <w:spacing w:line="360" w:lineRule="auto"/>
      <w:ind w:left="420" w:firstLine="480" w:firstLineChars="200"/>
    </w:pPr>
    <w:rPr>
      <w:bCs/>
      <w:sz w:val="24"/>
      <w:szCs w:val="24"/>
    </w:rPr>
  </w:style>
  <w:style w:type="character" w:customStyle="1" w:styleId="166">
    <w:name w:val="style191"/>
    <w:qFormat/>
    <w:uiPriority w:val="0"/>
    <w:rPr>
      <w:sz w:val="18"/>
      <w:szCs w:val="18"/>
    </w:rPr>
  </w:style>
  <w:style w:type="character" w:customStyle="1" w:styleId="167">
    <w:name w:val="标题 5 字符"/>
    <w:link w:val="7"/>
    <w:qFormat/>
    <w:uiPriority w:val="9"/>
    <w:rPr>
      <w:rFonts w:ascii="Cambria" w:hAnsi="Cambria" w:eastAsia="宋体" w:cs="Times New Roman"/>
      <w:color w:val="243F60"/>
    </w:rPr>
  </w:style>
  <w:style w:type="character" w:customStyle="1" w:styleId="168">
    <w:name w:val="xuj"/>
    <w:qFormat/>
    <w:uiPriority w:val="0"/>
    <w:rPr>
      <w:rFonts w:ascii="Arial" w:hAnsi="Arial" w:cs="Arial"/>
      <w:color w:val="000080"/>
      <w:sz w:val="20"/>
      <w:szCs w:val="20"/>
      <w:u w:val="none"/>
    </w:rPr>
  </w:style>
  <w:style w:type="character" w:customStyle="1" w:styleId="169">
    <w:name w:val="尾注文本 字符"/>
    <w:link w:val="23"/>
    <w:qFormat/>
    <w:uiPriority w:val="0"/>
    <w:rPr>
      <w:szCs w:val="24"/>
    </w:rPr>
  </w:style>
  <w:style w:type="character" w:customStyle="1" w:styleId="170">
    <w:name w:val="biaotiw1"/>
    <w:qFormat/>
    <w:uiPriority w:val="0"/>
    <w:rPr>
      <w:b/>
      <w:bCs/>
      <w:sz w:val="21"/>
      <w:szCs w:val="21"/>
    </w:rPr>
  </w:style>
  <w:style w:type="character" w:customStyle="1" w:styleId="171">
    <w:name w:val="文档正文 Char1"/>
    <w:link w:val="172"/>
    <w:qFormat/>
    <w:uiPriority w:val="0"/>
    <w:rPr>
      <w:rFonts w:ascii="仿宋_GB2312" w:eastAsia="仿宋_GB2312"/>
      <w:sz w:val="28"/>
      <w:szCs w:val="28"/>
    </w:rPr>
  </w:style>
  <w:style w:type="paragraph" w:customStyle="1" w:styleId="172">
    <w:name w:val="文档正文"/>
    <w:basedOn w:val="1"/>
    <w:link w:val="171"/>
    <w:qFormat/>
    <w:uiPriority w:val="0"/>
    <w:pPr>
      <w:numPr>
        <w:ilvl w:val="0"/>
        <w:numId w:val="4"/>
      </w:numPr>
      <w:adjustRightInd w:val="0"/>
      <w:spacing w:line="480" w:lineRule="exact"/>
      <w:textAlignment w:val="baseline"/>
    </w:pPr>
    <w:rPr>
      <w:rFonts w:ascii="仿宋_GB2312" w:eastAsia="仿宋_GB2312"/>
      <w:sz w:val="28"/>
      <w:szCs w:val="28"/>
      <w:lang w:bidi="ar-SA"/>
    </w:rPr>
  </w:style>
  <w:style w:type="character" w:customStyle="1" w:styleId="173">
    <w:name w:val="文档结构图 Char Char"/>
    <w:link w:val="174"/>
    <w:qFormat/>
    <w:uiPriority w:val="0"/>
    <w:rPr>
      <w:rFonts w:eastAsia="宋体"/>
      <w:kern w:val="2"/>
      <w:sz w:val="21"/>
      <w:szCs w:val="24"/>
      <w:lang w:val="en-US" w:eastAsia="zh-CN"/>
    </w:rPr>
  </w:style>
  <w:style w:type="paragraph" w:customStyle="1" w:styleId="174">
    <w:name w:val="文档结构图1"/>
    <w:basedOn w:val="1"/>
    <w:link w:val="173"/>
    <w:qFormat/>
    <w:uiPriority w:val="0"/>
    <w:pPr>
      <w:shd w:val="clear" w:color="auto" w:fill="000080"/>
    </w:pPr>
    <w:rPr>
      <w:kern w:val="2"/>
      <w:sz w:val="21"/>
      <w:szCs w:val="24"/>
      <w:lang w:eastAsia="zh-CN" w:bidi="ar-SA"/>
    </w:rPr>
  </w:style>
  <w:style w:type="paragraph" w:customStyle="1" w:styleId="175">
    <w:name w:val="xl158"/>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sz w:val="24"/>
      <w:szCs w:val="24"/>
    </w:rPr>
  </w:style>
  <w:style w:type="paragraph" w:customStyle="1" w:styleId="176">
    <w:name w:val="注×："/>
    <w:qFormat/>
    <w:uiPriority w:val="0"/>
    <w:pPr>
      <w:widowControl w:val="0"/>
      <w:numPr>
        <w:ilvl w:val="0"/>
        <w:numId w:val="5"/>
      </w:numPr>
      <w:tabs>
        <w:tab w:val="left" w:pos="630"/>
      </w:tabs>
      <w:autoSpaceDE w:val="0"/>
      <w:autoSpaceDN w:val="0"/>
      <w:spacing w:after="200" w:line="276" w:lineRule="auto"/>
      <w:jc w:val="both"/>
    </w:pPr>
    <w:rPr>
      <w:rFonts w:ascii="宋体" w:hAnsi="Calibri" w:eastAsia="宋体" w:cs="Times New Roman"/>
      <w:sz w:val="18"/>
      <w:szCs w:val="22"/>
      <w:lang w:val="en-US" w:eastAsia="zh-CN" w:bidi="ar-SA"/>
    </w:rPr>
  </w:style>
  <w:style w:type="paragraph" w:customStyle="1" w:styleId="177">
    <w:name w:val="font1"/>
    <w:basedOn w:val="1"/>
    <w:qFormat/>
    <w:uiPriority w:val="0"/>
    <w:pPr>
      <w:spacing w:before="100" w:beforeAutospacing="1" w:after="100" w:afterAutospacing="1"/>
    </w:pPr>
    <w:rPr>
      <w:rFonts w:ascii="Arial" w:hAnsi="Arial" w:cs="Arial"/>
      <w:b/>
      <w:bCs/>
      <w:sz w:val="20"/>
    </w:rPr>
  </w:style>
  <w:style w:type="paragraph" w:customStyle="1" w:styleId="178">
    <w:name w:val="1"/>
    <w:basedOn w:val="1"/>
    <w:qFormat/>
    <w:uiPriority w:val="0"/>
    <w:pPr>
      <w:spacing w:afterLines="50" w:line="360" w:lineRule="auto"/>
      <w:jc w:val="center"/>
    </w:pPr>
    <w:rPr>
      <w:rFonts w:ascii="宋体" w:hAnsi="宋体" w:cs="宋体"/>
      <w:b/>
      <w:sz w:val="24"/>
    </w:rPr>
  </w:style>
  <w:style w:type="paragraph" w:customStyle="1" w:styleId="179">
    <w:name w:val="列表 51"/>
    <w:basedOn w:val="1"/>
    <w:qFormat/>
    <w:uiPriority w:val="0"/>
    <w:pPr>
      <w:tabs>
        <w:tab w:val="left" w:pos="320"/>
      </w:tabs>
      <w:spacing w:line="400" w:lineRule="exact"/>
      <w:ind w:left="320" w:leftChars="30" w:hanging="420"/>
    </w:pPr>
    <w:rPr>
      <w:rFonts w:ascii="宋体" w:hAnsi="宋体"/>
      <w:b/>
      <w:sz w:val="24"/>
      <w:szCs w:val="18"/>
    </w:rPr>
  </w:style>
  <w:style w:type="paragraph" w:customStyle="1" w:styleId="180">
    <w:name w:val="xl6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b/>
      <w:bCs/>
      <w:sz w:val="18"/>
      <w:szCs w:val="18"/>
    </w:rPr>
  </w:style>
  <w:style w:type="paragraph" w:customStyle="1" w:styleId="181">
    <w:name w:val="样式 题注 + 居中 首行缩进:  2 字符"/>
    <w:basedOn w:val="13"/>
    <w:qFormat/>
    <w:uiPriority w:val="0"/>
    <w:pPr>
      <w:tabs>
        <w:tab w:val="right" w:pos="9500"/>
      </w:tabs>
      <w:spacing w:before="240" w:after="240" w:line="360" w:lineRule="auto"/>
      <w:jc w:val="center"/>
    </w:pPr>
    <w:rPr>
      <w:rFonts w:ascii="Arial" w:hAnsi="Arial"/>
      <w:sz w:val="21"/>
      <w:szCs w:val="20"/>
      <w:lang w:val="zh-CN"/>
    </w:rPr>
  </w:style>
  <w:style w:type="paragraph" w:customStyle="1" w:styleId="182">
    <w:name w:val="xl186"/>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183">
    <w:name w:val="xl40"/>
    <w:basedOn w:val="1"/>
    <w:qFormat/>
    <w:uiPriority w:val="0"/>
    <w:pPr>
      <w:pBdr>
        <w:top w:val="single" w:color="auto" w:sz="4" w:space="0"/>
        <w:left w:val="single" w:color="auto" w:sz="4" w:space="0"/>
        <w:right w:val="single" w:color="auto" w:sz="4" w:space="0"/>
      </w:pBdr>
      <w:spacing w:before="100" w:beforeAutospacing="1" w:after="100" w:afterAutospacing="1"/>
    </w:pPr>
    <w:rPr>
      <w:rFonts w:eastAsia="Arial Unicode MS"/>
      <w:sz w:val="24"/>
      <w:szCs w:val="24"/>
    </w:rPr>
  </w:style>
  <w:style w:type="paragraph" w:customStyle="1" w:styleId="184">
    <w:name w:val="xl27"/>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top"/>
    </w:pPr>
    <w:rPr>
      <w:b/>
      <w:bCs/>
    </w:rPr>
  </w:style>
  <w:style w:type="paragraph" w:customStyle="1" w:styleId="185">
    <w:name w:val="xl206"/>
    <w:basedOn w:val="1"/>
    <w:qFormat/>
    <w:uiPriority w:val="0"/>
    <w:pPr>
      <w:pBdr>
        <w:left w:val="single" w:color="auto" w:sz="8" w:space="0"/>
        <w:right w:val="single" w:color="auto" w:sz="4" w:space="0"/>
      </w:pBdr>
      <w:spacing w:before="100" w:beforeAutospacing="1" w:after="100" w:afterAutospacing="1"/>
      <w:jc w:val="center"/>
    </w:pPr>
    <w:rPr>
      <w:rFonts w:ascii="宋体" w:hAnsi="宋体" w:cs="宋体"/>
      <w:b/>
      <w:bCs/>
    </w:rPr>
  </w:style>
  <w:style w:type="paragraph" w:customStyle="1" w:styleId="186">
    <w:name w:val="节"/>
    <w:basedOn w:val="4"/>
    <w:qFormat/>
    <w:uiPriority w:val="0"/>
    <w:pPr>
      <w:numPr>
        <w:ilvl w:val="1"/>
        <w:numId w:val="6"/>
      </w:numPr>
      <w:tabs>
        <w:tab w:val="left" w:pos="432"/>
        <w:tab w:val="left" w:pos="1454"/>
        <w:tab w:val="clear" w:pos="576"/>
      </w:tabs>
      <w:spacing w:line="240" w:lineRule="auto"/>
      <w:ind w:left="1454" w:hanging="420" w:firstLineChars="141"/>
    </w:pPr>
    <w:rPr>
      <w:rFonts w:ascii="黑体" w:hAnsi="Arial"/>
      <w:b w:val="0"/>
      <w:sz w:val="28"/>
      <w:szCs w:val="28"/>
    </w:rPr>
  </w:style>
  <w:style w:type="paragraph" w:customStyle="1" w:styleId="187">
    <w:name w:val="列出段落2"/>
    <w:basedOn w:val="1"/>
    <w:qFormat/>
    <w:uiPriority w:val="0"/>
    <w:pPr>
      <w:ind w:firstLine="420" w:firstLineChars="200"/>
    </w:pPr>
    <w:rPr>
      <w:szCs w:val="24"/>
    </w:rPr>
  </w:style>
  <w:style w:type="paragraph" w:customStyle="1" w:styleId="188">
    <w:name w:val="正文(不缩进) 五号"/>
    <w:basedOn w:val="1"/>
    <w:qFormat/>
    <w:uiPriority w:val="0"/>
    <w:pPr>
      <w:spacing w:after="120" w:line="360" w:lineRule="auto"/>
    </w:pPr>
    <w:rPr>
      <w:rFonts w:ascii="Arial" w:hAnsi="Arial"/>
    </w:rPr>
  </w:style>
  <w:style w:type="paragraph" w:customStyle="1" w:styleId="189">
    <w:name w:val="xl25"/>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b/>
      <w:bCs/>
      <w:sz w:val="24"/>
      <w:szCs w:val="24"/>
    </w:rPr>
  </w:style>
  <w:style w:type="paragraph" w:customStyle="1" w:styleId="190">
    <w:name w:val="xl200"/>
    <w:basedOn w:val="1"/>
    <w:qFormat/>
    <w:uiPriority w:val="0"/>
    <w:pPr>
      <w:pBdr>
        <w:top w:val="single" w:color="auto" w:sz="8" w:space="0"/>
        <w:left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191">
    <w:name w:val="xl207"/>
    <w:basedOn w:val="1"/>
    <w:qFormat/>
    <w:uiPriority w:val="0"/>
    <w:pPr>
      <w:pBdr>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rPr>
  </w:style>
  <w:style w:type="paragraph" w:customStyle="1" w:styleId="192">
    <w:name w:val="Char1"/>
    <w:basedOn w:val="1"/>
    <w:qFormat/>
    <w:uiPriority w:val="0"/>
    <w:rPr>
      <w:rFonts w:ascii="仿宋_GB2312" w:hAnsi="宋体" w:eastAsia="仿宋_GB2312" w:cs="宋体"/>
      <w:b/>
      <w:sz w:val="32"/>
      <w:szCs w:val="32"/>
    </w:rPr>
  </w:style>
  <w:style w:type="paragraph" w:customStyle="1" w:styleId="193">
    <w:name w:val="列表 31"/>
    <w:basedOn w:val="61"/>
    <w:qFormat/>
    <w:uiPriority w:val="0"/>
    <w:pPr>
      <w:numPr>
        <w:ilvl w:val="0"/>
        <w:numId w:val="7"/>
      </w:numPr>
      <w:tabs>
        <w:tab w:val="left" w:pos="1554"/>
        <w:tab w:val="clear" w:pos="620"/>
      </w:tabs>
      <w:spacing w:line="360" w:lineRule="auto"/>
      <w:ind w:left="1554" w:leftChars="30" w:hanging="432"/>
    </w:pPr>
    <w:rPr>
      <w:rFonts w:ascii="宋体" w:hAnsi="宋体"/>
      <w:sz w:val="24"/>
      <w:szCs w:val="24"/>
    </w:rPr>
  </w:style>
  <w:style w:type="paragraph" w:customStyle="1" w:styleId="194">
    <w:name w:val="xl1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rPr>
  </w:style>
  <w:style w:type="paragraph" w:customStyle="1" w:styleId="195">
    <w:name w:val="Table Cell Text"/>
    <w:basedOn w:val="1"/>
    <w:qFormat/>
    <w:uiPriority w:val="0"/>
    <w:pPr>
      <w:spacing w:before="120" w:after="120"/>
    </w:pPr>
    <w:rPr>
      <w:rFonts w:ascii="Arial" w:hAnsi="Arial" w:cs="Arial"/>
      <w:sz w:val="18"/>
    </w:rPr>
  </w:style>
  <w:style w:type="paragraph" w:customStyle="1" w:styleId="196">
    <w:name w:val="表正文左"/>
    <w:qFormat/>
    <w:uiPriority w:val="0"/>
    <w:pPr>
      <w:spacing w:after="200" w:line="276" w:lineRule="auto"/>
    </w:pPr>
    <w:rPr>
      <w:rFonts w:ascii="Arial" w:hAnsi="Arial" w:eastAsia="宋体" w:cs="Times New Roman"/>
      <w:kern w:val="2"/>
      <w:sz w:val="18"/>
      <w:szCs w:val="24"/>
      <w:lang w:val="en-US" w:eastAsia="zh-CN" w:bidi="ar-SA"/>
    </w:rPr>
  </w:style>
  <w:style w:type="paragraph" w:customStyle="1" w:styleId="197">
    <w:name w:val="xl196"/>
    <w:basedOn w:val="1"/>
    <w:qFormat/>
    <w:uiPriority w:val="0"/>
    <w:pPr>
      <w:pBdr>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198">
    <w:name w:val="p14h"/>
    <w:basedOn w:val="1"/>
    <w:qFormat/>
    <w:uiPriority w:val="0"/>
    <w:pPr>
      <w:spacing w:before="100" w:beforeAutospacing="1" w:after="100" w:afterAutospacing="1" w:line="312" w:lineRule="auto"/>
    </w:pPr>
    <w:rPr>
      <w:rFonts w:ascii="宋体" w:hAnsi="宋体"/>
    </w:rPr>
  </w:style>
  <w:style w:type="paragraph" w:customStyle="1" w:styleId="199">
    <w:name w:val="xl9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18"/>
      <w:szCs w:val="18"/>
    </w:rPr>
  </w:style>
  <w:style w:type="paragraph" w:customStyle="1" w:styleId="200">
    <w:name w:val="xl212"/>
    <w:basedOn w:val="1"/>
    <w:qFormat/>
    <w:uiPriority w:val="0"/>
    <w:pPr>
      <w:pBdr>
        <w:top w:val="single" w:color="auto" w:sz="4" w:space="0"/>
        <w:left w:val="single" w:color="auto" w:sz="8"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201">
    <w:name w:val="xl139"/>
    <w:basedOn w:val="1"/>
    <w:qFormat/>
    <w:uiPriority w:val="0"/>
    <w:pPr>
      <w:shd w:val="clear" w:color="000000" w:fill="FFFFFF"/>
      <w:spacing w:before="100" w:beforeAutospacing="1" w:after="100" w:afterAutospacing="1"/>
    </w:pPr>
    <w:rPr>
      <w:rFonts w:ascii="宋体" w:hAnsi="宋体" w:cs="宋体"/>
      <w:b/>
      <w:bCs/>
      <w:color w:val="000000"/>
    </w:rPr>
  </w:style>
  <w:style w:type="paragraph" w:customStyle="1" w:styleId="202">
    <w:name w:val="Char Char Char Char Char Char Char Char Char Char Char Char Char Char Char Char Char Char Char Char Char Char"/>
    <w:basedOn w:val="1"/>
    <w:qFormat/>
    <w:uiPriority w:val="0"/>
    <w:rPr>
      <w:rFonts w:ascii="Tahoma" w:hAnsi="Tahoma"/>
      <w:sz w:val="24"/>
    </w:rPr>
  </w:style>
  <w:style w:type="paragraph" w:customStyle="1" w:styleId="203">
    <w:name w:val="Char Char Char Char1 Char Char Char"/>
    <w:basedOn w:val="1"/>
    <w:qFormat/>
    <w:uiPriority w:val="0"/>
    <w:rPr>
      <w:rFonts w:ascii="Tahoma" w:hAnsi="Tahoma"/>
      <w:sz w:val="24"/>
    </w:rPr>
  </w:style>
  <w:style w:type="paragraph" w:customStyle="1" w:styleId="204">
    <w:name w:val="xl17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205">
    <w:name w:val="Char Char Char1"/>
    <w:basedOn w:val="1"/>
    <w:qFormat/>
    <w:uiPriority w:val="0"/>
    <w:rPr>
      <w:rFonts w:ascii="Tahoma" w:hAnsi="Tahoma"/>
      <w:sz w:val="24"/>
    </w:rPr>
  </w:style>
  <w:style w:type="paragraph" w:customStyle="1" w:styleId="206">
    <w:name w:val="2150"/>
    <w:basedOn w:val="1"/>
    <w:qFormat/>
    <w:uiPriority w:val="0"/>
    <w:pPr>
      <w:spacing w:before="100" w:beforeAutospacing="1" w:after="100" w:afterAutospacing="1" w:line="240" w:lineRule="atLeast"/>
    </w:pPr>
    <w:rPr>
      <w:rFonts w:ascii="宋体" w:hAnsi="宋体" w:cs="宋体"/>
      <w:sz w:val="18"/>
      <w:szCs w:val="18"/>
    </w:rPr>
  </w:style>
  <w:style w:type="paragraph" w:customStyle="1" w:styleId="207">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208">
    <w:name w:val="索引标题1"/>
    <w:basedOn w:val="1"/>
    <w:next w:val="209"/>
    <w:qFormat/>
    <w:uiPriority w:val="0"/>
    <w:rPr>
      <w:rFonts w:ascii="Arial" w:hAnsi="Arial" w:cs="Arial"/>
      <w:b/>
      <w:bCs/>
      <w:szCs w:val="24"/>
    </w:rPr>
  </w:style>
  <w:style w:type="paragraph" w:customStyle="1" w:styleId="209">
    <w:name w:val="索引 11"/>
    <w:basedOn w:val="1"/>
    <w:next w:val="1"/>
    <w:qFormat/>
    <w:uiPriority w:val="0"/>
    <w:rPr>
      <w:szCs w:val="24"/>
    </w:rPr>
  </w:style>
  <w:style w:type="paragraph" w:customStyle="1" w:styleId="210">
    <w:name w:val="xl194"/>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211">
    <w:name w:val="xl8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212">
    <w:name w:val="a2"/>
    <w:basedOn w:val="1"/>
    <w:qFormat/>
    <w:uiPriority w:val="0"/>
    <w:pPr>
      <w:spacing w:after="150"/>
    </w:pPr>
    <w:rPr>
      <w:rFonts w:ascii="宋体" w:hAnsi="宋体" w:cs="宋体"/>
      <w:sz w:val="24"/>
      <w:szCs w:val="24"/>
    </w:rPr>
  </w:style>
  <w:style w:type="paragraph" w:customStyle="1" w:styleId="213">
    <w:name w:val="列表 41"/>
    <w:basedOn w:val="1"/>
    <w:qFormat/>
    <w:uiPriority w:val="0"/>
    <w:pPr>
      <w:spacing w:line="400" w:lineRule="exact"/>
      <w:ind w:left="100" w:leftChars="600" w:hanging="200" w:hangingChars="200"/>
    </w:pPr>
    <w:rPr>
      <w:rFonts w:ascii="宋体" w:hAnsi="宋体"/>
      <w:sz w:val="24"/>
      <w:szCs w:val="18"/>
    </w:rPr>
  </w:style>
  <w:style w:type="paragraph" w:customStyle="1" w:styleId="214">
    <w:name w:val="xl1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15">
    <w:name w:val="xl10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18"/>
      <w:szCs w:val="18"/>
    </w:rPr>
  </w:style>
  <w:style w:type="paragraph" w:customStyle="1" w:styleId="216">
    <w:name w:val="tabletext"/>
    <w:basedOn w:val="1"/>
    <w:qFormat/>
    <w:uiPriority w:val="0"/>
    <w:pPr>
      <w:spacing w:line="300" w:lineRule="atLeast"/>
    </w:pPr>
    <w:rPr>
      <w:rFonts w:ascii="宋体" w:hAnsi="宋体" w:cs="宋体"/>
      <w:sz w:val="18"/>
      <w:szCs w:val="18"/>
    </w:rPr>
  </w:style>
  <w:style w:type="paragraph" w:customStyle="1" w:styleId="217">
    <w:name w:val="样式 正文缩进表正文正文非缩进标题4正文缩进1正文缩进 Charbt特点段1正文不缩进ALT+Z水上软件..."/>
    <w:basedOn w:val="61"/>
    <w:qFormat/>
    <w:uiPriority w:val="0"/>
    <w:pPr>
      <w:numPr>
        <w:ilvl w:val="1"/>
        <w:numId w:val="8"/>
      </w:numPr>
      <w:tabs>
        <w:tab w:val="left" w:pos="360"/>
        <w:tab w:val="clear" w:pos="900"/>
      </w:tabs>
      <w:spacing w:line="300" w:lineRule="auto"/>
      <w:ind w:left="0" w:firstLine="420"/>
    </w:pPr>
    <w:rPr>
      <w:rFonts w:ascii="Times New Roman" w:hAnsi="Times New Roman" w:cs="宋体"/>
      <w:sz w:val="24"/>
      <w:szCs w:val="20"/>
    </w:rPr>
  </w:style>
  <w:style w:type="paragraph" w:customStyle="1" w:styleId="218">
    <w:name w:val="List Paragraph1"/>
    <w:basedOn w:val="1"/>
    <w:qFormat/>
    <w:uiPriority w:val="0"/>
    <w:pPr>
      <w:ind w:firstLine="420" w:firstLineChars="200"/>
    </w:pPr>
  </w:style>
  <w:style w:type="paragraph" w:customStyle="1" w:styleId="219">
    <w:name w:val="subtitle 2"/>
    <w:basedOn w:val="1"/>
    <w:qFormat/>
    <w:uiPriority w:val="0"/>
    <w:pPr>
      <w:overflowPunct w:val="0"/>
      <w:autoSpaceDE w:val="0"/>
      <w:autoSpaceDN w:val="0"/>
      <w:adjustRightInd w:val="0"/>
      <w:spacing w:before="240" w:after="240" w:line="312" w:lineRule="atLeast"/>
      <w:textAlignment w:val="baseline"/>
    </w:pPr>
    <w:rPr>
      <w:rFonts w:ascii="黑体" w:eastAsia="黑体"/>
      <w:sz w:val="24"/>
    </w:rPr>
  </w:style>
  <w:style w:type="paragraph" w:customStyle="1" w:styleId="220">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221">
    <w:name w:val="xl197"/>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222">
    <w:name w:val="xl15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23">
    <w:name w:val="H1 Text"/>
    <w:basedOn w:val="1"/>
    <w:qFormat/>
    <w:uiPriority w:val="0"/>
    <w:pPr>
      <w:tabs>
        <w:tab w:val="left" w:pos="360"/>
      </w:tabs>
      <w:spacing w:after="60" w:line="300" w:lineRule="exact"/>
      <w:ind w:left="360"/>
    </w:pPr>
    <w:rPr>
      <w:rFonts w:ascii="Times" w:hAnsi="Times"/>
    </w:rPr>
  </w:style>
  <w:style w:type="paragraph" w:customStyle="1" w:styleId="224">
    <w:name w:val="xl159"/>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color w:val="000000"/>
    </w:rPr>
  </w:style>
  <w:style w:type="paragraph" w:customStyle="1" w:styleId="225">
    <w:name w:val="正文表标题"/>
    <w:next w:val="226"/>
    <w:qFormat/>
    <w:uiPriority w:val="0"/>
    <w:pPr>
      <w:numPr>
        <w:ilvl w:val="0"/>
        <w:numId w:val="9"/>
      </w:numPr>
      <w:spacing w:after="200" w:line="276" w:lineRule="auto"/>
      <w:jc w:val="center"/>
    </w:pPr>
    <w:rPr>
      <w:rFonts w:ascii="黑体" w:hAnsi="Calibri" w:eastAsia="黑体" w:cs="Times New Roman"/>
      <w:sz w:val="21"/>
      <w:szCs w:val="22"/>
      <w:lang w:val="en-US" w:eastAsia="zh-CN" w:bidi="ar-SA"/>
    </w:rPr>
  </w:style>
  <w:style w:type="paragraph" w:customStyle="1" w:styleId="226">
    <w:name w:val="段"/>
    <w:qFormat/>
    <w:uiPriority w:val="0"/>
    <w:pPr>
      <w:autoSpaceDE w:val="0"/>
      <w:autoSpaceDN w:val="0"/>
      <w:spacing w:after="200" w:line="276" w:lineRule="auto"/>
      <w:ind w:firstLine="200" w:firstLineChars="200"/>
      <w:jc w:val="both"/>
    </w:pPr>
    <w:rPr>
      <w:rFonts w:ascii="宋体" w:hAnsi="Calibri" w:eastAsia="宋体" w:cs="Times New Roman"/>
      <w:sz w:val="21"/>
      <w:szCs w:val="22"/>
      <w:lang w:val="en-US" w:eastAsia="zh-CN" w:bidi="ar-SA"/>
    </w:rPr>
  </w:style>
  <w:style w:type="paragraph" w:customStyle="1" w:styleId="227">
    <w:name w:val="xl208"/>
    <w:basedOn w:val="1"/>
    <w:qFormat/>
    <w:uiPriority w:val="0"/>
    <w:pPr>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228">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229">
    <w:name w:val="列项——"/>
    <w:qFormat/>
    <w:uiPriority w:val="0"/>
    <w:pPr>
      <w:widowControl w:val="0"/>
      <w:numPr>
        <w:ilvl w:val="0"/>
        <w:numId w:val="10"/>
      </w:numPr>
      <w:tabs>
        <w:tab w:val="left" w:pos="840"/>
        <w:tab w:val="clear" w:pos="360"/>
      </w:tabs>
      <w:spacing w:after="200" w:line="276" w:lineRule="auto"/>
      <w:jc w:val="both"/>
    </w:pPr>
    <w:rPr>
      <w:rFonts w:ascii="宋体" w:hAnsi="Calibri" w:eastAsia="宋体" w:cs="Times New Roman"/>
      <w:sz w:val="21"/>
      <w:szCs w:val="22"/>
      <w:lang w:val="en-US" w:eastAsia="zh-CN" w:bidi="ar-SA"/>
    </w:rPr>
  </w:style>
  <w:style w:type="paragraph" w:customStyle="1" w:styleId="230">
    <w:name w:val="xl173"/>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31">
    <w:name w:val="Char3"/>
    <w:basedOn w:val="1"/>
    <w:qFormat/>
    <w:uiPriority w:val="0"/>
    <w:pPr>
      <w:spacing w:after="160" w:line="240" w:lineRule="exact"/>
    </w:pPr>
    <w:rPr>
      <w:rFonts w:ascii="Verdana" w:hAnsi="Verdana"/>
      <w:sz w:val="20"/>
    </w:rPr>
  </w:style>
  <w:style w:type="paragraph" w:customStyle="1" w:styleId="232">
    <w:name w:val="ST20_1"/>
    <w:basedOn w:val="1"/>
    <w:qFormat/>
    <w:uiPriority w:val="0"/>
    <w:pPr>
      <w:autoSpaceDE w:val="0"/>
      <w:autoSpaceDN w:val="0"/>
      <w:adjustRightInd w:val="0"/>
      <w:snapToGrid w:val="0"/>
    </w:pPr>
    <w:rPr>
      <w:rFonts w:ascii="宋体" w:hAnsi="Tms Rmn"/>
      <w:bCs/>
      <w:sz w:val="24"/>
    </w:rPr>
  </w:style>
  <w:style w:type="paragraph" w:customStyle="1" w:styleId="233">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234">
    <w:name w:val="样式1"/>
    <w:basedOn w:val="208"/>
    <w:qFormat/>
    <w:uiPriority w:val="0"/>
    <w:pPr>
      <w:tabs>
        <w:tab w:val="left" w:pos="840"/>
      </w:tabs>
      <w:spacing w:before="100" w:beforeAutospacing="1" w:after="100" w:afterAutospacing="1" w:line="360" w:lineRule="auto"/>
      <w:ind w:left="840" w:hanging="420"/>
    </w:pPr>
    <w:rPr>
      <w:color w:val="000000"/>
      <w:sz w:val="24"/>
    </w:rPr>
  </w:style>
  <w:style w:type="paragraph" w:customStyle="1" w:styleId="235">
    <w:name w:val="xl26"/>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b/>
      <w:bCs/>
    </w:rPr>
  </w:style>
  <w:style w:type="paragraph" w:customStyle="1" w:styleId="236">
    <w:name w:val="at1"/>
    <w:basedOn w:val="1"/>
    <w:qFormat/>
    <w:uiPriority w:val="0"/>
    <w:pPr>
      <w:autoSpaceDE w:val="0"/>
      <w:autoSpaceDN w:val="0"/>
      <w:spacing w:before="120" w:after="120" w:line="360" w:lineRule="exact"/>
      <w:ind w:left="527" w:hanging="527"/>
    </w:pPr>
    <w:rPr>
      <w:rFonts w:eastAsia="华文仿宋"/>
      <w:sz w:val="24"/>
    </w:rPr>
  </w:style>
  <w:style w:type="paragraph" w:customStyle="1" w:styleId="237">
    <w:name w:val="lastincell"/>
    <w:basedOn w:val="1"/>
    <w:qFormat/>
    <w:uiPriority w:val="0"/>
    <w:pPr>
      <w:numPr>
        <w:ilvl w:val="0"/>
        <w:numId w:val="11"/>
      </w:numPr>
      <w:spacing w:before="100" w:beforeAutospacing="1" w:after="100" w:afterAutospacing="1"/>
      <w:ind w:left="0" w:firstLine="0"/>
    </w:pPr>
    <w:rPr>
      <w:rFonts w:ascii="宋体" w:hAnsi="宋体"/>
      <w:snapToGrid w:val="0"/>
      <w:sz w:val="24"/>
      <w:szCs w:val="24"/>
    </w:rPr>
  </w:style>
  <w:style w:type="paragraph" w:customStyle="1" w:styleId="238">
    <w:name w:val="xl215"/>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239">
    <w:name w:val="xl2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Arial Unicode MS" w:hAnsi="Arial Unicode MS"/>
    </w:rPr>
  </w:style>
  <w:style w:type="paragraph" w:customStyle="1" w:styleId="240">
    <w:name w:val="xl1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41">
    <w:name w:val="contentnoteheader"/>
    <w:basedOn w:val="1"/>
    <w:qFormat/>
    <w:uiPriority w:val="0"/>
    <w:pPr>
      <w:spacing w:before="30" w:after="100" w:afterAutospacing="1"/>
      <w:ind w:left="90"/>
    </w:pPr>
    <w:rPr>
      <w:rFonts w:ascii="Arial Unicode MS" w:hAnsi="Arial Unicode MS"/>
      <w:b/>
      <w:bCs/>
      <w:color w:val="990000"/>
      <w:sz w:val="18"/>
      <w:szCs w:val="18"/>
    </w:rPr>
  </w:style>
  <w:style w:type="paragraph" w:customStyle="1" w:styleId="242">
    <w:name w:val="xl19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243">
    <w:name w:val="xl161"/>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b/>
      <w:bCs/>
      <w:color w:val="000000"/>
    </w:rPr>
  </w:style>
  <w:style w:type="paragraph" w:customStyle="1" w:styleId="244">
    <w:name w:val="Char Char Char Char Char Char"/>
    <w:basedOn w:val="1"/>
    <w:qFormat/>
    <w:uiPriority w:val="0"/>
    <w:rPr>
      <w:rFonts w:ascii="Tahoma" w:hAnsi="Tahoma"/>
      <w:sz w:val="24"/>
    </w:rPr>
  </w:style>
  <w:style w:type="paragraph" w:customStyle="1" w:styleId="245">
    <w:name w:val="xl146"/>
    <w:basedOn w:val="1"/>
    <w:qFormat/>
    <w:uiPriority w:val="0"/>
    <w:pPr>
      <w:pBdr>
        <w:bottom w:val="single" w:color="000000" w:sz="4" w:space="0"/>
      </w:pBdr>
      <w:spacing w:before="100" w:beforeAutospacing="1" w:after="100" w:afterAutospacing="1"/>
      <w:jc w:val="right"/>
    </w:pPr>
    <w:rPr>
      <w:rFonts w:ascii="宋体" w:hAnsi="宋体" w:cs="宋体"/>
      <w:b/>
      <w:bCs/>
      <w:color w:val="000000"/>
    </w:rPr>
  </w:style>
  <w:style w:type="paragraph" w:customStyle="1" w:styleId="246">
    <w:name w:val="表格表头"/>
    <w:basedOn w:val="1"/>
    <w:next w:val="61"/>
    <w:qFormat/>
    <w:uiPriority w:val="0"/>
    <w:pPr>
      <w:numPr>
        <w:ilvl w:val="0"/>
        <w:numId w:val="12"/>
      </w:numPr>
      <w:adjustRightInd w:val="0"/>
      <w:snapToGrid w:val="0"/>
      <w:spacing w:before="60" w:after="60"/>
      <w:jc w:val="center"/>
    </w:pPr>
    <w:rPr>
      <w:color w:val="000000"/>
      <w:sz w:val="24"/>
      <w:szCs w:val="24"/>
    </w:rPr>
  </w:style>
  <w:style w:type="paragraph" w:customStyle="1" w:styleId="247">
    <w:name w:val="xl1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rPr>
  </w:style>
  <w:style w:type="paragraph" w:customStyle="1" w:styleId="248">
    <w:name w:val="xl28"/>
    <w:basedOn w:val="1"/>
    <w:qFormat/>
    <w:uiPriority w:val="0"/>
    <w:pPr>
      <w:pBdr>
        <w:top w:val="single" w:color="auto" w:sz="4"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b/>
      <w:bCs/>
      <w:sz w:val="24"/>
      <w:szCs w:val="24"/>
    </w:rPr>
  </w:style>
  <w:style w:type="paragraph" w:customStyle="1" w:styleId="249">
    <w:name w:val="xl9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18"/>
      <w:szCs w:val="18"/>
    </w:rPr>
  </w:style>
  <w:style w:type="paragraph" w:customStyle="1" w:styleId="250">
    <w:name w:val="theader"/>
    <w:basedOn w:val="1"/>
    <w:qFormat/>
    <w:uiPriority w:val="0"/>
    <w:pPr>
      <w:spacing w:before="100" w:beforeAutospacing="1" w:after="100" w:afterAutospacing="1" w:line="200" w:lineRule="atLeast"/>
    </w:pPr>
    <w:rPr>
      <w:rFonts w:ascii="Arial" w:hAnsi="Arial" w:cs="Arial"/>
      <w:b/>
      <w:bCs/>
      <w:color w:val="294130"/>
      <w:sz w:val="15"/>
      <w:szCs w:val="15"/>
    </w:rPr>
  </w:style>
  <w:style w:type="paragraph" w:customStyle="1" w:styleId="251">
    <w:name w:val="xl211"/>
    <w:basedOn w:val="1"/>
    <w:qFormat/>
    <w:uiPriority w:val="0"/>
    <w:pPr>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252">
    <w:name w:val="xl1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53">
    <w:name w:val="xl41"/>
    <w:basedOn w:val="1"/>
    <w:qFormat/>
    <w:uiPriority w:val="0"/>
    <w:pPr>
      <w:numPr>
        <w:ilvl w:val="0"/>
        <w:numId w:val="13"/>
      </w:numPr>
      <w:pBdr>
        <w:left w:val="single" w:color="auto" w:sz="4" w:space="0"/>
        <w:bottom w:val="single" w:color="auto" w:sz="4" w:space="0"/>
        <w:right w:val="single" w:color="auto" w:sz="4" w:space="0"/>
      </w:pBdr>
      <w:spacing w:before="100" w:beforeAutospacing="1" w:after="100" w:afterAutospacing="1"/>
      <w:ind w:left="0" w:firstLine="0"/>
      <w:textAlignment w:val="top"/>
    </w:pPr>
    <w:rPr>
      <w:rFonts w:ascii="宋体" w:hAnsi="宋体"/>
      <w:szCs w:val="21"/>
    </w:rPr>
  </w:style>
  <w:style w:type="paragraph" w:customStyle="1" w:styleId="254">
    <w:name w:val="xl203"/>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55">
    <w:name w:val="xl110"/>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Arial" w:hAnsi="Arial" w:cs="Arial"/>
      <w:b/>
      <w:bCs/>
      <w:sz w:val="18"/>
      <w:szCs w:val="18"/>
    </w:rPr>
  </w:style>
  <w:style w:type="paragraph" w:customStyle="1" w:styleId="256">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rPr>
  </w:style>
  <w:style w:type="paragraph" w:customStyle="1" w:styleId="257">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258">
    <w:name w:val="并列项 ·"/>
    <w:basedOn w:val="259"/>
    <w:qFormat/>
    <w:uiPriority w:val="0"/>
    <w:pPr>
      <w:numPr>
        <w:ilvl w:val="0"/>
        <w:numId w:val="14"/>
      </w:numPr>
      <w:ind w:right="210"/>
    </w:pPr>
    <w:rPr>
      <w:b/>
    </w:rPr>
  </w:style>
  <w:style w:type="paragraph" w:customStyle="1" w:styleId="259">
    <w:name w:val="正文格式"/>
    <w:basedOn w:val="1"/>
    <w:qFormat/>
    <w:uiPriority w:val="0"/>
    <w:pPr>
      <w:adjustRightInd w:val="0"/>
      <w:snapToGrid w:val="0"/>
      <w:spacing w:line="360" w:lineRule="auto"/>
      <w:ind w:firstLine="527"/>
      <w:textAlignment w:val="baseline"/>
    </w:pPr>
    <w:rPr>
      <w:sz w:val="24"/>
    </w:rPr>
  </w:style>
  <w:style w:type="paragraph" w:customStyle="1" w:styleId="260">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8"/>
      <w:szCs w:val="18"/>
    </w:rPr>
  </w:style>
  <w:style w:type="paragraph" w:customStyle="1" w:styleId="261">
    <w:name w:val="xl17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262">
    <w:name w:val="xl17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263">
    <w:name w:val="xl213"/>
    <w:basedOn w:val="1"/>
    <w:qFormat/>
    <w:uiPriority w:val="0"/>
    <w:pPr>
      <w:pBdr>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264">
    <w:name w:val="xl6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18"/>
      <w:szCs w:val="18"/>
    </w:rPr>
  </w:style>
  <w:style w:type="paragraph" w:customStyle="1" w:styleId="265">
    <w:name w:val="H2 List Bullet"/>
    <w:basedOn w:val="1"/>
    <w:qFormat/>
    <w:uiPriority w:val="0"/>
    <w:pPr>
      <w:numPr>
        <w:ilvl w:val="0"/>
        <w:numId w:val="15"/>
      </w:numPr>
      <w:tabs>
        <w:tab w:val="left" w:pos="1260"/>
        <w:tab w:val="clear" w:pos="1440"/>
      </w:tabs>
      <w:spacing w:after="60"/>
      <w:ind w:left="1260" w:hanging="180"/>
    </w:pPr>
  </w:style>
  <w:style w:type="paragraph" w:customStyle="1" w:styleId="266">
    <w:name w:val="xl7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18"/>
      <w:szCs w:val="18"/>
    </w:rPr>
  </w:style>
  <w:style w:type="paragraph" w:customStyle="1" w:styleId="267">
    <w:name w:val="xl17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68">
    <w:name w:val="xl210"/>
    <w:basedOn w:val="1"/>
    <w:qFormat/>
    <w:uiPriority w:val="0"/>
    <w:pPr>
      <w:pBdr>
        <w:left w:val="single" w:color="auto" w:sz="8"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269">
    <w:name w:val="xl9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270">
    <w:name w:val="xl195"/>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271">
    <w:name w:val="xl18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272">
    <w:name w:val="Default"/>
    <w:qFormat/>
    <w:uiPriority w:val="0"/>
    <w:pPr>
      <w:widowControl w:val="0"/>
      <w:autoSpaceDE w:val="0"/>
      <w:autoSpaceDN w:val="0"/>
      <w:adjustRightInd w:val="0"/>
      <w:spacing w:after="200" w:line="276" w:lineRule="auto"/>
    </w:pPr>
    <w:rPr>
      <w:rFonts w:ascii="Arial,Bold" w:hAnsi="Arial,Bold" w:eastAsia="宋体" w:cs="Times New Roman"/>
      <w:sz w:val="22"/>
      <w:szCs w:val="22"/>
      <w:lang w:val="en-US" w:eastAsia="zh-CN" w:bidi="ar-SA"/>
    </w:rPr>
  </w:style>
  <w:style w:type="paragraph" w:customStyle="1" w:styleId="273">
    <w:name w:val="font6"/>
    <w:basedOn w:val="1"/>
    <w:qFormat/>
    <w:uiPriority w:val="0"/>
    <w:pPr>
      <w:spacing w:before="100" w:beforeAutospacing="1" w:after="100" w:afterAutospacing="1"/>
    </w:pPr>
    <w:rPr>
      <w:rFonts w:ascii="宋体" w:hAnsi="宋体" w:cs="宋体"/>
      <w:sz w:val="18"/>
      <w:szCs w:val="18"/>
    </w:rPr>
  </w:style>
  <w:style w:type="paragraph" w:customStyle="1" w:styleId="274">
    <w:name w:val="默认段落字体 Para Char"/>
    <w:basedOn w:val="1"/>
    <w:qFormat/>
    <w:uiPriority w:val="0"/>
    <w:pPr>
      <w:adjustRightInd w:val="0"/>
      <w:spacing w:line="360" w:lineRule="auto"/>
    </w:pPr>
    <w:rPr>
      <w:sz w:val="24"/>
    </w:rPr>
  </w:style>
  <w:style w:type="paragraph" w:customStyle="1" w:styleId="275">
    <w:name w:val="列表编号 31"/>
    <w:basedOn w:val="1"/>
    <w:qFormat/>
    <w:uiPriority w:val="0"/>
    <w:pPr>
      <w:numPr>
        <w:ilvl w:val="0"/>
        <w:numId w:val="16"/>
      </w:numPr>
    </w:pPr>
    <w:rPr>
      <w:szCs w:val="24"/>
    </w:rPr>
  </w:style>
  <w:style w:type="paragraph" w:customStyle="1" w:styleId="276">
    <w:name w:val="xl18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277">
    <w:name w:val="普通正文"/>
    <w:basedOn w:val="1"/>
    <w:qFormat/>
    <w:uiPriority w:val="0"/>
    <w:pPr>
      <w:tabs>
        <w:tab w:val="left" w:pos="0"/>
      </w:tabs>
      <w:topLinePunct/>
      <w:autoSpaceDE w:val="0"/>
      <w:autoSpaceDN w:val="0"/>
      <w:adjustRightInd w:val="0"/>
      <w:spacing w:before="40" w:after="40" w:line="440" w:lineRule="exact"/>
      <w:ind w:left="72" w:leftChars="30" w:right="62" w:firstLine="425"/>
      <w:textAlignment w:val="baseline"/>
    </w:pPr>
    <w:rPr>
      <w:rFonts w:ascii="宋体" w:hAnsi="宋体"/>
      <w:color w:val="000000"/>
      <w:sz w:val="24"/>
    </w:rPr>
  </w:style>
  <w:style w:type="paragraph" w:customStyle="1" w:styleId="278">
    <w:name w:val="MM Topic 2"/>
    <w:basedOn w:val="4"/>
    <w:qFormat/>
    <w:uiPriority w:val="0"/>
    <w:pPr>
      <w:tabs>
        <w:tab w:val="left" w:pos="288"/>
      </w:tabs>
      <w:spacing w:line="416" w:lineRule="auto"/>
      <w:ind w:left="288" w:hanging="576"/>
    </w:pPr>
    <w:rPr>
      <w:rFonts w:hAnsi="Arial"/>
      <w:szCs w:val="32"/>
    </w:rPr>
  </w:style>
  <w:style w:type="paragraph" w:customStyle="1" w:styleId="279">
    <w:name w:val="图样式"/>
    <w:basedOn w:val="1"/>
    <w:qFormat/>
    <w:uiPriority w:val="0"/>
    <w:pPr>
      <w:keepNext/>
      <w:autoSpaceDE w:val="0"/>
      <w:autoSpaceDN w:val="0"/>
      <w:adjustRightInd w:val="0"/>
      <w:spacing w:before="80" w:after="80" w:line="360" w:lineRule="auto"/>
      <w:jc w:val="center"/>
    </w:pPr>
  </w:style>
  <w:style w:type="paragraph" w:customStyle="1" w:styleId="280">
    <w:name w:val="Table Cell Head"/>
    <w:basedOn w:val="1"/>
    <w:next w:val="195"/>
    <w:qFormat/>
    <w:uiPriority w:val="0"/>
    <w:pPr>
      <w:tabs>
        <w:tab w:val="left" w:pos="360"/>
        <w:tab w:val="left" w:pos="720"/>
        <w:tab w:val="left" w:pos="1440"/>
        <w:tab w:val="left" w:pos="2160"/>
        <w:tab w:val="left" w:pos="2880"/>
        <w:tab w:val="left" w:pos="3600"/>
        <w:tab w:val="right" w:pos="7110"/>
        <w:tab w:val="left" w:pos="7920"/>
        <w:tab w:val="left" w:pos="8640"/>
      </w:tabs>
      <w:spacing w:before="120" w:after="120"/>
      <w:ind w:firstLine="36"/>
    </w:pPr>
    <w:rPr>
      <w:rFonts w:ascii="Arial" w:hAnsi="Arial"/>
      <w:b/>
      <w:bCs/>
      <w:color w:val="000000"/>
      <w:sz w:val="18"/>
    </w:rPr>
  </w:style>
  <w:style w:type="paragraph" w:customStyle="1" w:styleId="281">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sz w:val="24"/>
      <w:szCs w:val="24"/>
    </w:rPr>
  </w:style>
  <w:style w:type="paragraph" w:customStyle="1" w:styleId="282">
    <w:name w:val="默认段落字体 Para Char Char Char Char Char Char Char Char Char1 Char"/>
    <w:basedOn w:val="1"/>
    <w:qFormat/>
    <w:uiPriority w:val="0"/>
    <w:rPr>
      <w:rFonts w:ascii="Tahoma" w:hAnsi="Tahoma"/>
      <w:sz w:val="24"/>
    </w:rPr>
  </w:style>
  <w:style w:type="paragraph" w:customStyle="1" w:styleId="283">
    <w:name w:val="xl142"/>
    <w:basedOn w:val="1"/>
    <w:qFormat/>
    <w:uiPriority w:val="0"/>
    <w:pPr>
      <w:pBdr>
        <w:top w:val="single" w:color="000000" w:sz="4" w:space="0"/>
        <w:left w:val="single" w:color="000000" w:sz="4" w:space="0"/>
        <w:right w:val="single" w:color="000000" w:sz="4" w:space="0"/>
      </w:pBdr>
      <w:shd w:val="clear" w:color="000000" w:fill="C0C0C0"/>
      <w:spacing w:before="100" w:beforeAutospacing="1" w:after="100" w:afterAutospacing="1"/>
      <w:jc w:val="center"/>
    </w:pPr>
    <w:rPr>
      <w:rFonts w:ascii="宋体" w:hAnsi="宋体" w:cs="宋体"/>
      <w:b/>
      <w:bCs/>
      <w:color w:val="000000"/>
      <w:sz w:val="24"/>
      <w:szCs w:val="24"/>
    </w:rPr>
  </w:style>
  <w:style w:type="paragraph" w:customStyle="1" w:styleId="284">
    <w:name w:val="xl9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18"/>
      <w:szCs w:val="18"/>
    </w:rPr>
  </w:style>
  <w:style w:type="paragraph" w:customStyle="1" w:styleId="285">
    <w:name w:val="xl7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18"/>
      <w:szCs w:val="18"/>
    </w:rPr>
  </w:style>
  <w:style w:type="paragraph" w:customStyle="1" w:styleId="286">
    <w:name w:val="newtext"/>
    <w:basedOn w:val="1"/>
    <w:qFormat/>
    <w:uiPriority w:val="0"/>
    <w:pPr>
      <w:spacing w:before="100" w:beforeAutospacing="1" w:after="100" w:afterAutospacing="1" w:line="360" w:lineRule="atLeast"/>
    </w:pPr>
    <w:rPr>
      <w:rFonts w:ascii="宋体" w:hAnsi="宋体" w:cs="宋体"/>
      <w:szCs w:val="21"/>
    </w:rPr>
  </w:style>
  <w:style w:type="paragraph" w:customStyle="1" w:styleId="287">
    <w:name w:val="xl188"/>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288">
    <w:name w:val="列项·"/>
    <w:qFormat/>
    <w:uiPriority w:val="0"/>
    <w:pPr>
      <w:numPr>
        <w:ilvl w:val="0"/>
        <w:numId w:val="17"/>
      </w:numPr>
      <w:tabs>
        <w:tab w:val="left" w:pos="840"/>
        <w:tab w:val="clear" w:pos="420"/>
      </w:tabs>
      <w:spacing w:after="200" w:line="276" w:lineRule="auto"/>
      <w:ind w:left="840" w:leftChars="200" w:hanging="200" w:hangingChars="200"/>
      <w:jc w:val="both"/>
    </w:pPr>
    <w:rPr>
      <w:rFonts w:ascii="宋体" w:hAnsi="Calibri" w:eastAsia="宋体" w:cs="Times New Roman"/>
      <w:sz w:val="21"/>
      <w:szCs w:val="22"/>
      <w:lang w:val="en-US" w:eastAsia="zh-CN" w:bidi="ar-SA"/>
    </w:rPr>
  </w:style>
  <w:style w:type="paragraph" w:customStyle="1" w:styleId="289">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290">
    <w:name w:val="表头文本"/>
    <w:qFormat/>
    <w:uiPriority w:val="0"/>
    <w:pPr>
      <w:spacing w:after="200" w:line="276" w:lineRule="auto"/>
      <w:jc w:val="center"/>
    </w:pPr>
    <w:rPr>
      <w:rFonts w:ascii="Arial" w:hAnsi="Arial" w:eastAsia="宋体" w:cs="Times New Roman"/>
      <w:b/>
      <w:sz w:val="21"/>
      <w:szCs w:val="21"/>
      <w:lang w:val="en-US" w:eastAsia="zh-CN" w:bidi="ar-SA"/>
    </w:rPr>
  </w:style>
  <w:style w:type="paragraph" w:customStyle="1" w:styleId="291">
    <w:name w:val="列出段落1"/>
    <w:basedOn w:val="1"/>
    <w:qFormat/>
    <w:uiPriority w:val="0"/>
    <w:pPr>
      <w:ind w:firstLine="420" w:firstLineChars="200"/>
    </w:pPr>
  </w:style>
  <w:style w:type="paragraph" w:customStyle="1" w:styleId="292">
    <w:name w:val="xl182"/>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293">
    <w:name w:val="Char2"/>
    <w:basedOn w:val="1"/>
    <w:qFormat/>
    <w:uiPriority w:val="0"/>
    <w:pPr>
      <w:spacing w:after="160" w:line="240" w:lineRule="exact"/>
    </w:pPr>
    <w:rPr>
      <w:rFonts w:ascii="Verdana" w:hAnsi="Verdana"/>
      <w:sz w:val="20"/>
    </w:rPr>
  </w:style>
  <w:style w:type="paragraph" w:customStyle="1" w:styleId="294">
    <w:name w:val="’˝Œƒ"/>
    <w:basedOn w:val="1"/>
    <w:qFormat/>
    <w:uiPriority w:val="0"/>
    <w:pPr>
      <w:suppressAutoHyphens/>
      <w:autoSpaceDE w:val="0"/>
      <w:autoSpaceDN w:val="0"/>
      <w:adjustRightInd w:val="0"/>
      <w:spacing w:after="170" w:line="360" w:lineRule="atLeast"/>
      <w:textAlignment w:val="center"/>
    </w:pPr>
    <w:rPr>
      <w:rFonts w:ascii="ATC-6c494eea4e2d7b497ebf7b80*+H" w:hAnsi="ATC-6c494eea4e2d7b497ebf7b80*+H" w:eastAsia="ATC-6c494eea4e2d7b497ebf7b80*+H"/>
      <w:color w:val="000000"/>
      <w:sz w:val="20"/>
    </w:rPr>
  </w:style>
  <w:style w:type="paragraph" w:customStyle="1" w:styleId="295">
    <w:name w:val="样式 行距: 1.5 倍行距"/>
    <w:basedOn w:val="1"/>
    <w:qFormat/>
    <w:uiPriority w:val="0"/>
    <w:pPr>
      <w:spacing w:line="360" w:lineRule="auto"/>
    </w:pPr>
    <w:rPr>
      <w:rFonts w:eastAsia="楷体_GB2312"/>
      <w:sz w:val="24"/>
    </w:rPr>
  </w:style>
  <w:style w:type="paragraph" w:customStyle="1" w:styleId="296">
    <w:name w:val="xl18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rPr>
  </w:style>
  <w:style w:type="paragraph" w:customStyle="1" w:styleId="297">
    <w:name w:val="xl16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298">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299">
    <w:name w:val="表格文本"/>
    <w:qFormat/>
    <w:uiPriority w:val="0"/>
    <w:pPr>
      <w:tabs>
        <w:tab w:val="decimal" w:pos="0"/>
      </w:tabs>
      <w:spacing w:after="200" w:line="276" w:lineRule="auto"/>
    </w:pPr>
    <w:rPr>
      <w:rFonts w:ascii="Arial" w:hAnsi="Arial" w:eastAsia="宋体" w:cs="Times New Roman"/>
      <w:sz w:val="21"/>
      <w:szCs w:val="21"/>
      <w:lang w:val="en-US" w:eastAsia="zh-CN" w:bidi="ar-SA"/>
    </w:rPr>
  </w:style>
  <w:style w:type="paragraph" w:customStyle="1" w:styleId="300">
    <w:name w:val="xl214"/>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301">
    <w:name w:val="示例"/>
    <w:next w:val="226"/>
    <w:qFormat/>
    <w:uiPriority w:val="0"/>
    <w:pPr>
      <w:numPr>
        <w:ilvl w:val="0"/>
        <w:numId w:val="18"/>
      </w:numPr>
      <w:tabs>
        <w:tab w:val="left" w:pos="816"/>
        <w:tab w:val="clear" w:pos="420"/>
      </w:tabs>
      <w:spacing w:after="200" w:line="276" w:lineRule="auto"/>
      <w:ind w:firstLine="419" w:firstLineChars="233"/>
      <w:jc w:val="both"/>
    </w:pPr>
    <w:rPr>
      <w:rFonts w:ascii="宋体" w:hAnsi="Calibri" w:eastAsia="宋体" w:cs="Times New Roman"/>
      <w:sz w:val="18"/>
      <w:szCs w:val="22"/>
      <w:lang w:val="en-US" w:eastAsia="zh-CN" w:bidi="ar-SA"/>
    </w:rPr>
  </w:style>
  <w:style w:type="paragraph" w:customStyle="1" w:styleId="302">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4"/>
      <w:szCs w:val="24"/>
    </w:rPr>
  </w:style>
  <w:style w:type="paragraph" w:customStyle="1" w:styleId="303">
    <w:name w:val="标头1"/>
    <w:basedOn w:val="5"/>
    <w:qFormat/>
    <w:uiPriority w:val="0"/>
    <w:rPr>
      <w:sz w:val="28"/>
    </w:rPr>
  </w:style>
  <w:style w:type="paragraph" w:customStyle="1" w:styleId="304">
    <w:name w:val="正文22"/>
    <w:basedOn w:val="1"/>
    <w:qFormat/>
    <w:uiPriority w:val="0"/>
    <w:pPr>
      <w:tabs>
        <w:tab w:val="left" w:pos="0"/>
      </w:tabs>
      <w:topLinePunct/>
      <w:autoSpaceDE w:val="0"/>
      <w:autoSpaceDN w:val="0"/>
      <w:adjustRightInd w:val="0"/>
      <w:spacing w:before="100" w:after="100" w:line="317" w:lineRule="atLeast"/>
      <w:ind w:right="62" w:firstLine="505"/>
      <w:textAlignment w:val="baseline"/>
    </w:pPr>
    <w:rPr>
      <w:rFonts w:ascii="宋体"/>
      <w:color w:val="000000"/>
      <w:sz w:val="24"/>
    </w:rPr>
  </w:style>
  <w:style w:type="paragraph" w:customStyle="1" w:styleId="305">
    <w:name w:val="Char Char Char"/>
    <w:basedOn w:val="1"/>
    <w:qFormat/>
    <w:uiPriority w:val="0"/>
    <w:pPr>
      <w:adjustRightInd w:val="0"/>
      <w:spacing w:line="360" w:lineRule="auto"/>
    </w:pPr>
    <w:rPr>
      <w:color w:val="000000"/>
      <w:sz w:val="24"/>
    </w:rPr>
  </w:style>
  <w:style w:type="paragraph" w:customStyle="1" w:styleId="306">
    <w:name w:val="样式 普通(网站) + 仿宋_GB2312 段前: 自动 段后: 自动 行距: 1.5 倍行距1"/>
    <w:basedOn w:val="1"/>
    <w:qFormat/>
    <w:uiPriority w:val="0"/>
    <w:pPr>
      <w:tabs>
        <w:tab w:val="left" w:pos="1134"/>
      </w:tabs>
      <w:spacing w:after="120"/>
      <w:ind w:left="1134" w:hanging="294"/>
    </w:pPr>
    <w:rPr>
      <w:rFonts w:ascii="Arial" w:hAnsi="Arial" w:cs="Arial"/>
      <w:sz w:val="20"/>
      <w:szCs w:val="28"/>
    </w:rPr>
  </w:style>
  <w:style w:type="paragraph" w:customStyle="1" w:styleId="307">
    <w:name w:val="xl151"/>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b/>
      <w:bCs/>
    </w:rPr>
  </w:style>
  <w:style w:type="paragraph" w:customStyle="1" w:styleId="308">
    <w:name w:val="xl150"/>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b/>
      <w:bCs/>
    </w:rPr>
  </w:style>
  <w:style w:type="paragraph" w:customStyle="1" w:styleId="309">
    <w:name w:val="xl216"/>
    <w:basedOn w:val="1"/>
    <w:qFormat/>
    <w:uiPriority w:val="0"/>
    <w:pPr>
      <w:pBdr>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310">
    <w:name w:val="xl8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18"/>
      <w:szCs w:val="18"/>
    </w:rPr>
  </w:style>
  <w:style w:type="paragraph" w:customStyle="1" w:styleId="311">
    <w:name w:val="xl113"/>
    <w:basedOn w:val="1"/>
    <w:qFormat/>
    <w:uiPriority w:val="0"/>
    <w:pPr>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pPr>
    <w:rPr>
      <w:rFonts w:ascii="宋体" w:hAnsi="宋体" w:cs="宋体"/>
      <w:sz w:val="20"/>
    </w:rPr>
  </w:style>
  <w:style w:type="paragraph" w:customStyle="1" w:styleId="312">
    <w:name w:val="Body"/>
    <w:basedOn w:val="1"/>
    <w:qFormat/>
    <w:uiPriority w:val="0"/>
    <w:pPr>
      <w:spacing w:before="60" w:after="60"/>
      <w:ind w:left="360" w:right="360"/>
    </w:pPr>
    <w:rPr>
      <w:rFonts w:ascii="Garamond" w:hAnsi="Garamond"/>
      <w:kern w:val="1"/>
      <w:sz w:val="24"/>
      <w:szCs w:val="24"/>
    </w:rPr>
  </w:style>
  <w:style w:type="paragraph" w:customStyle="1" w:styleId="313">
    <w:name w:val="xl160"/>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rPr>
  </w:style>
  <w:style w:type="paragraph" w:customStyle="1" w:styleId="314">
    <w:name w:val="xl185"/>
    <w:basedOn w:val="1"/>
    <w:qFormat/>
    <w:uiPriority w:val="0"/>
    <w:pPr>
      <w:pBdr>
        <w:top w:val="single" w:color="auto" w:sz="8" w:space="0"/>
        <w:left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315">
    <w:name w:val="tableheading"/>
    <w:basedOn w:val="1"/>
    <w:qFormat/>
    <w:uiPriority w:val="0"/>
    <w:pPr>
      <w:spacing w:line="300" w:lineRule="atLeast"/>
    </w:pPr>
    <w:rPr>
      <w:rFonts w:ascii="宋体" w:hAnsi="宋体" w:cs="宋体"/>
      <w:sz w:val="18"/>
      <w:szCs w:val="18"/>
    </w:rPr>
  </w:style>
  <w:style w:type="paragraph" w:customStyle="1" w:styleId="316">
    <w:name w:val="注："/>
    <w:next w:val="226"/>
    <w:qFormat/>
    <w:uiPriority w:val="0"/>
    <w:pPr>
      <w:widowControl w:val="0"/>
      <w:numPr>
        <w:ilvl w:val="0"/>
        <w:numId w:val="19"/>
      </w:numPr>
      <w:autoSpaceDE w:val="0"/>
      <w:autoSpaceDN w:val="0"/>
      <w:spacing w:after="200" w:line="276" w:lineRule="auto"/>
      <w:jc w:val="both"/>
    </w:pPr>
    <w:rPr>
      <w:rFonts w:ascii="宋体" w:hAnsi="Calibri" w:eastAsia="宋体" w:cs="Times New Roman"/>
      <w:sz w:val="18"/>
      <w:szCs w:val="22"/>
      <w:lang w:val="en-US" w:eastAsia="zh-CN" w:bidi="ar-SA"/>
    </w:rPr>
  </w:style>
  <w:style w:type="paragraph" w:customStyle="1" w:styleId="317">
    <w:name w:val="表正文中"/>
    <w:qFormat/>
    <w:uiPriority w:val="0"/>
    <w:pPr>
      <w:spacing w:after="200" w:line="276" w:lineRule="auto"/>
      <w:jc w:val="center"/>
    </w:pPr>
    <w:rPr>
      <w:rFonts w:ascii="Arial" w:hAnsi="Arial" w:eastAsia="宋体" w:cs="Times New Roman"/>
      <w:kern w:val="2"/>
      <w:sz w:val="18"/>
      <w:szCs w:val="24"/>
      <w:lang w:val="en-US" w:eastAsia="zh-CN" w:bidi="ar-SA"/>
    </w:rPr>
  </w:style>
  <w:style w:type="paragraph" w:customStyle="1" w:styleId="318">
    <w:name w:val="xl147"/>
    <w:basedOn w:val="1"/>
    <w:qFormat/>
    <w:uiPriority w:val="0"/>
    <w:pPr>
      <w:pBdr>
        <w:bottom w:val="single" w:color="000000" w:sz="4" w:space="0"/>
      </w:pBdr>
      <w:spacing w:before="100" w:beforeAutospacing="1" w:after="100" w:afterAutospacing="1"/>
      <w:jc w:val="right"/>
    </w:pPr>
    <w:rPr>
      <w:rFonts w:ascii="宋体" w:hAnsi="宋体" w:cs="宋体"/>
      <w:sz w:val="24"/>
      <w:szCs w:val="24"/>
    </w:rPr>
  </w:style>
  <w:style w:type="paragraph" w:customStyle="1" w:styleId="319">
    <w:name w:val="Char Char1 Char Char Char Char Char Char"/>
    <w:basedOn w:val="1"/>
    <w:qFormat/>
    <w:uiPriority w:val="0"/>
    <w:pPr>
      <w:spacing w:after="160" w:line="240" w:lineRule="exact"/>
    </w:pPr>
    <w:rPr>
      <w:rFonts w:ascii="Verdana" w:hAnsi="Verdana" w:eastAsia="仿宋_GB2312"/>
      <w:sz w:val="24"/>
    </w:rPr>
  </w:style>
  <w:style w:type="paragraph" w:customStyle="1" w:styleId="320">
    <w:name w:val="Default Text"/>
    <w:basedOn w:val="1"/>
    <w:qFormat/>
    <w:uiPriority w:val="0"/>
    <w:rPr>
      <w:rFonts w:ascii="Tahoma" w:hAnsi="Tahoma" w:cs="Tahoma"/>
      <w:sz w:val="24"/>
      <w:szCs w:val="24"/>
    </w:rPr>
  </w:style>
  <w:style w:type="paragraph" w:customStyle="1" w:styleId="321">
    <w:name w:val="xl152"/>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b/>
      <w:bCs/>
      <w:color w:val="FF0000"/>
    </w:rPr>
  </w:style>
  <w:style w:type="paragraph" w:customStyle="1" w:styleId="322">
    <w:name w:val="列表4"/>
    <w:basedOn w:val="323"/>
    <w:qFormat/>
    <w:uiPriority w:val="0"/>
    <w:pPr>
      <w:tabs>
        <w:tab w:val="left" w:pos="360"/>
        <w:tab w:val="left" w:pos="840"/>
      </w:tabs>
    </w:pPr>
  </w:style>
  <w:style w:type="paragraph" w:customStyle="1" w:styleId="323">
    <w:name w:val="列表3"/>
    <w:basedOn w:val="1"/>
    <w:qFormat/>
    <w:uiPriority w:val="0"/>
    <w:pPr>
      <w:tabs>
        <w:tab w:val="left" w:pos="360"/>
        <w:tab w:val="left" w:pos="840"/>
      </w:tabs>
      <w:spacing w:before="78" w:after="78"/>
    </w:pPr>
  </w:style>
  <w:style w:type="paragraph" w:customStyle="1" w:styleId="324">
    <w:name w:val="xl7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18"/>
      <w:szCs w:val="18"/>
    </w:rPr>
  </w:style>
  <w:style w:type="paragraph" w:customStyle="1" w:styleId="325">
    <w:name w:val="xl148"/>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b/>
      <w:bCs/>
      <w:color w:val="000000"/>
    </w:rPr>
  </w:style>
  <w:style w:type="paragraph" w:customStyle="1" w:styleId="326">
    <w:name w:val="Char"/>
    <w:basedOn w:val="1"/>
    <w:qFormat/>
    <w:uiPriority w:val="0"/>
    <w:pPr>
      <w:spacing w:after="160" w:line="240" w:lineRule="exact"/>
    </w:pPr>
    <w:rPr>
      <w:rFonts w:ascii="Verdana" w:hAnsi="Verdana" w:cs="宋体"/>
      <w:sz w:val="20"/>
      <w:szCs w:val="28"/>
    </w:rPr>
  </w:style>
  <w:style w:type="paragraph" w:customStyle="1" w:styleId="327">
    <w:name w:val="xl204"/>
    <w:basedOn w:val="1"/>
    <w:qFormat/>
    <w:uiPriority w:val="0"/>
    <w:pPr>
      <w:pBdr>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328">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8"/>
      <w:szCs w:val="18"/>
    </w:rPr>
  </w:style>
  <w:style w:type="paragraph" w:customStyle="1" w:styleId="329">
    <w:name w:val="缺省文本"/>
    <w:basedOn w:val="1"/>
    <w:qFormat/>
    <w:uiPriority w:val="0"/>
    <w:pPr>
      <w:tabs>
        <w:tab w:val="left" w:pos="0"/>
      </w:tabs>
      <w:topLinePunct/>
      <w:autoSpaceDE w:val="0"/>
      <w:autoSpaceDN w:val="0"/>
      <w:adjustRightInd w:val="0"/>
      <w:spacing w:before="40" w:after="40" w:line="440" w:lineRule="exact"/>
      <w:ind w:left="72" w:leftChars="30" w:right="62" w:firstLine="505"/>
    </w:pPr>
    <w:rPr>
      <w:rFonts w:ascii="宋体" w:hAnsi="宋体"/>
      <w:color w:val="000000"/>
      <w:sz w:val="24"/>
    </w:rPr>
  </w:style>
  <w:style w:type="paragraph" w:customStyle="1" w:styleId="330">
    <w:name w:val="项目"/>
    <w:basedOn w:val="1"/>
    <w:qFormat/>
    <w:uiPriority w:val="0"/>
    <w:pPr>
      <w:autoSpaceDE w:val="0"/>
      <w:autoSpaceDN w:val="0"/>
      <w:adjustRightInd w:val="0"/>
      <w:spacing w:line="240" w:lineRule="atLeast"/>
      <w:ind w:left="425" w:leftChars="30" w:hanging="425"/>
      <w:textAlignment w:val="baseline"/>
    </w:pPr>
    <w:rPr>
      <w:rFonts w:ascii="宋体" w:hAnsi="Tms Rmn"/>
      <w:sz w:val="24"/>
    </w:rPr>
  </w:style>
  <w:style w:type="paragraph" w:customStyle="1" w:styleId="331">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rPr>
  </w:style>
  <w:style w:type="paragraph" w:customStyle="1" w:styleId="332">
    <w:name w:val="xl144"/>
    <w:basedOn w:val="1"/>
    <w:qFormat/>
    <w:uiPriority w:val="0"/>
    <w:pPr>
      <w:pBdr>
        <w:top w:val="single" w:color="000000" w:sz="4" w:space="0"/>
        <w:left w:val="single" w:color="000000" w:sz="4" w:space="0"/>
        <w:right w:val="single" w:color="000000" w:sz="4" w:space="0"/>
      </w:pBdr>
      <w:shd w:val="clear" w:color="000000" w:fill="C0C0C0"/>
      <w:spacing w:before="100" w:beforeAutospacing="1" w:after="100" w:afterAutospacing="1"/>
      <w:jc w:val="center"/>
    </w:pPr>
    <w:rPr>
      <w:rFonts w:ascii="宋体" w:hAnsi="宋体" w:cs="宋体"/>
      <w:b/>
      <w:bCs/>
      <w:color w:val="000000"/>
      <w:sz w:val="24"/>
      <w:szCs w:val="24"/>
    </w:rPr>
  </w:style>
  <w:style w:type="paragraph" w:customStyle="1" w:styleId="333">
    <w:name w:val="LOX Title"/>
    <w:basedOn w:val="1"/>
    <w:qFormat/>
    <w:uiPriority w:val="0"/>
    <w:pPr>
      <w:keepNext/>
      <w:tabs>
        <w:tab w:val="left" w:pos="360"/>
      </w:tabs>
      <w:spacing w:before="240" w:after="240"/>
      <w:outlineLvl w:val="0"/>
    </w:pPr>
    <w:rPr>
      <w:rFonts w:ascii="Arial" w:hAnsi="Arial"/>
      <w:b/>
      <w:iCs/>
      <w:snapToGrid w:val="0"/>
      <w:color w:val="000000"/>
      <w:sz w:val="28"/>
    </w:rPr>
  </w:style>
  <w:style w:type="paragraph" w:customStyle="1" w:styleId="334">
    <w:name w:val="Table Caption"/>
    <w:basedOn w:val="9"/>
    <w:next w:val="1"/>
    <w:qFormat/>
    <w:uiPriority w:val="0"/>
    <w:pPr>
      <w:keepNext w:val="0"/>
      <w:keepLines w:val="0"/>
      <w:numPr>
        <w:ilvl w:val="0"/>
        <w:numId w:val="20"/>
      </w:numPr>
      <w:tabs>
        <w:tab w:val="left" w:pos="360"/>
        <w:tab w:val="clear" w:pos="1440"/>
      </w:tabs>
      <w:spacing w:after="60" w:line="240" w:lineRule="auto"/>
      <w:jc w:val="center"/>
    </w:pPr>
    <w:rPr>
      <w:rFonts w:ascii="Arial" w:hAnsi="Arial"/>
      <w:sz w:val="22"/>
    </w:rPr>
  </w:style>
  <w:style w:type="paragraph" w:customStyle="1" w:styleId="335">
    <w:name w:val="xl17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b/>
      <w:bCs/>
    </w:rPr>
  </w:style>
  <w:style w:type="paragraph" w:customStyle="1" w:styleId="336">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8"/>
      <w:szCs w:val="18"/>
    </w:rPr>
  </w:style>
  <w:style w:type="paragraph" w:customStyle="1" w:styleId="33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38">
    <w:name w:val="xl18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339">
    <w:name w:val="正文序号"/>
    <w:basedOn w:val="61"/>
    <w:qFormat/>
    <w:uiPriority w:val="0"/>
    <w:pPr>
      <w:numPr>
        <w:ilvl w:val="0"/>
        <w:numId w:val="21"/>
      </w:numPr>
      <w:tabs>
        <w:tab w:val="left" w:pos="360"/>
        <w:tab w:val="left" w:pos="720"/>
        <w:tab w:val="clear" w:pos="840"/>
      </w:tabs>
      <w:ind w:left="0" w:firstLine="420"/>
    </w:pPr>
    <w:rPr>
      <w:rFonts w:ascii="Times New Roman" w:hAnsi="Times New Roman"/>
      <w:szCs w:val="24"/>
    </w:rPr>
  </w:style>
  <w:style w:type="paragraph" w:customStyle="1" w:styleId="340">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sz w:val="24"/>
      <w:szCs w:val="24"/>
    </w:rPr>
  </w:style>
  <w:style w:type="paragraph" w:customStyle="1" w:styleId="341">
    <w:name w:val="xl137"/>
    <w:basedOn w:val="1"/>
    <w:qFormat/>
    <w:uiPriority w:val="0"/>
    <w:pPr>
      <w:spacing w:before="100" w:beforeAutospacing="1" w:after="100" w:afterAutospacing="1"/>
      <w:textAlignment w:val="top"/>
    </w:pPr>
    <w:rPr>
      <w:rFonts w:ascii="Arial" w:hAnsi="Arial" w:cs="Arial"/>
      <w:sz w:val="24"/>
      <w:szCs w:val="24"/>
    </w:rPr>
  </w:style>
  <w:style w:type="paragraph" w:customStyle="1" w:styleId="342">
    <w:name w:val="my-title"/>
    <w:basedOn w:val="1"/>
    <w:qFormat/>
    <w:uiPriority w:val="0"/>
    <w:pPr>
      <w:spacing w:before="100" w:beforeAutospacing="1" w:after="100" w:afterAutospacing="1"/>
    </w:pPr>
    <w:rPr>
      <w:rFonts w:ascii="宋体" w:hAnsi="宋体" w:cs="宋体"/>
      <w:sz w:val="24"/>
      <w:szCs w:val="24"/>
    </w:rPr>
  </w:style>
  <w:style w:type="paragraph" w:customStyle="1" w:styleId="343">
    <w:name w:val="Normal_UserEntry"/>
    <w:basedOn w:val="1"/>
    <w:qFormat/>
    <w:uiPriority w:val="0"/>
    <w:rPr>
      <w:rFonts w:ascii="Futura Bk" w:hAnsi="Futura Bk"/>
      <w:color w:val="FF0000"/>
      <w:sz w:val="20"/>
    </w:rPr>
  </w:style>
  <w:style w:type="paragraph" w:customStyle="1" w:styleId="344">
    <w:name w:val="a3"/>
    <w:basedOn w:val="1"/>
    <w:qFormat/>
    <w:uiPriority w:val="0"/>
    <w:pPr>
      <w:spacing w:before="100" w:beforeAutospacing="1" w:after="100" w:afterAutospacing="1" w:line="240" w:lineRule="atLeast"/>
    </w:pPr>
    <w:rPr>
      <w:rFonts w:ascii="宋体" w:hAnsi="宋体" w:cs="宋体"/>
      <w:sz w:val="18"/>
      <w:szCs w:val="18"/>
    </w:rPr>
  </w:style>
  <w:style w:type="paragraph" w:customStyle="1" w:styleId="345">
    <w:name w:val="xl9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18"/>
      <w:szCs w:val="18"/>
    </w:rPr>
  </w:style>
  <w:style w:type="paragraph" w:customStyle="1" w:styleId="346">
    <w:name w:val="xl108"/>
    <w:basedOn w:val="1"/>
    <w:qFormat/>
    <w:uiPriority w:val="0"/>
    <w:pPr>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Arial" w:hAnsi="Arial" w:cs="Arial"/>
      <w:b/>
      <w:bCs/>
      <w:sz w:val="18"/>
      <w:szCs w:val="18"/>
    </w:rPr>
  </w:style>
  <w:style w:type="paragraph" w:customStyle="1" w:styleId="347">
    <w:name w:val="应答"/>
    <w:basedOn w:val="1"/>
    <w:qFormat/>
    <w:uiPriority w:val="0"/>
    <w:pPr>
      <w:spacing w:before="120" w:after="120" w:line="288" w:lineRule="auto"/>
      <w:ind w:left="624" w:hanging="624"/>
    </w:pPr>
    <w:rPr>
      <w:rFonts w:eastAsia="黑体"/>
      <w:bCs/>
      <w:szCs w:val="24"/>
    </w:rPr>
  </w:style>
  <w:style w:type="paragraph" w:customStyle="1" w:styleId="348">
    <w:name w:val="要点1"/>
    <w:basedOn w:val="1"/>
    <w:qFormat/>
    <w:uiPriority w:val="0"/>
    <w:pPr>
      <w:autoSpaceDE w:val="0"/>
      <w:autoSpaceDN w:val="0"/>
      <w:adjustRightInd w:val="0"/>
      <w:spacing w:line="240" w:lineRule="atLeast"/>
      <w:ind w:left="425" w:leftChars="30" w:hanging="425"/>
      <w:textAlignment w:val="baseline"/>
    </w:pPr>
    <w:rPr>
      <w:rFonts w:ascii="宋体" w:hAnsi="Tms Rmn"/>
      <w:b/>
      <w:sz w:val="24"/>
    </w:rPr>
  </w:style>
  <w:style w:type="paragraph" w:customStyle="1" w:styleId="349">
    <w:name w:val="xl1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350">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351">
    <w:name w:val="215"/>
    <w:basedOn w:val="1"/>
    <w:qFormat/>
    <w:uiPriority w:val="0"/>
    <w:pPr>
      <w:spacing w:before="100" w:beforeAutospacing="1" w:after="100" w:afterAutospacing="1" w:line="240" w:lineRule="atLeast"/>
    </w:pPr>
    <w:rPr>
      <w:rFonts w:ascii="宋体" w:hAnsi="宋体" w:cs="宋体"/>
      <w:sz w:val="18"/>
      <w:szCs w:val="18"/>
    </w:rPr>
  </w:style>
  <w:style w:type="paragraph" w:customStyle="1" w:styleId="352">
    <w:name w:val="my-style"/>
    <w:basedOn w:val="1"/>
    <w:qFormat/>
    <w:uiPriority w:val="0"/>
    <w:pPr>
      <w:spacing w:before="100" w:beforeAutospacing="1" w:after="100" w:afterAutospacing="1" w:line="300" w:lineRule="atLeast"/>
    </w:pPr>
    <w:rPr>
      <w:rFonts w:ascii="宋体" w:hAnsi="宋体" w:cs="宋体"/>
      <w:color w:val="000000"/>
      <w:sz w:val="20"/>
    </w:rPr>
  </w:style>
  <w:style w:type="paragraph" w:customStyle="1" w:styleId="353">
    <w:name w:val="xl31"/>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b/>
      <w:bCs/>
    </w:rPr>
  </w:style>
  <w:style w:type="paragraph" w:customStyle="1" w:styleId="354">
    <w:name w:val="xl165"/>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355">
    <w:name w:val="tabledescription"/>
    <w:basedOn w:val="1"/>
    <w:qFormat/>
    <w:uiPriority w:val="0"/>
    <w:pPr>
      <w:spacing w:line="300" w:lineRule="atLeast"/>
    </w:pPr>
    <w:rPr>
      <w:rFonts w:ascii="宋体" w:hAnsi="宋体" w:cs="宋体"/>
      <w:sz w:val="18"/>
      <w:szCs w:val="18"/>
    </w:rPr>
  </w:style>
  <w:style w:type="paragraph" w:customStyle="1" w:styleId="356">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57">
    <w:name w:val="È±Ê¡ÎÄ±¾"/>
    <w:basedOn w:val="1"/>
    <w:qFormat/>
    <w:uiPriority w:val="0"/>
    <w:pPr>
      <w:overflowPunct w:val="0"/>
      <w:autoSpaceDE w:val="0"/>
      <w:autoSpaceDN w:val="0"/>
      <w:adjustRightInd w:val="0"/>
      <w:textAlignment w:val="baseline"/>
    </w:pPr>
    <w:rPr>
      <w:sz w:val="24"/>
    </w:rPr>
  </w:style>
  <w:style w:type="paragraph" w:customStyle="1" w:styleId="358">
    <w:name w:val="xl8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18"/>
      <w:szCs w:val="18"/>
    </w:rPr>
  </w:style>
  <w:style w:type="paragraph" w:customStyle="1" w:styleId="359">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60">
    <w:name w:val="xl187"/>
    <w:basedOn w:val="1"/>
    <w:qFormat/>
    <w:uiPriority w:val="0"/>
    <w:pPr>
      <w:pBdr>
        <w:top w:val="single" w:color="auto" w:sz="8" w:space="0"/>
        <w:left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361">
    <w:name w:val="样式 标题 3 + Times New Roman 段前: 5 磅 行距: 多倍行距 1.73 字行"/>
    <w:basedOn w:val="5"/>
    <w:qFormat/>
    <w:uiPriority w:val="0"/>
    <w:pPr>
      <w:keepLines w:val="0"/>
      <w:pBdr>
        <w:bottom w:val="single" w:color="auto" w:sz="4" w:space="1"/>
      </w:pBdr>
      <w:tabs>
        <w:tab w:val="left" w:pos="900"/>
      </w:tabs>
      <w:spacing w:before="100" w:line="415" w:lineRule="auto"/>
    </w:pPr>
    <w:rPr>
      <w:rFonts w:cs="Arial"/>
      <w:sz w:val="26"/>
      <w:szCs w:val="26"/>
    </w:rPr>
  </w:style>
  <w:style w:type="paragraph" w:customStyle="1" w:styleId="362">
    <w:name w:val="开始文字"/>
    <w:basedOn w:val="1"/>
    <w:qFormat/>
    <w:uiPriority w:val="0"/>
    <w:pPr>
      <w:suppressAutoHyphens/>
      <w:autoSpaceDE w:val="0"/>
      <w:autoSpaceDN w:val="0"/>
      <w:adjustRightInd w:val="0"/>
      <w:spacing w:after="113" w:line="360" w:lineRule="atLeast"/>
      <w:textAlignment w:val="center"/>
    </w:pPr>
    <w:rPr>
      <w:rFonts w:ascii="ATC-6c494eea59279ed17b80*+Arial" w:eastAsia="ATC-6c494eea59279ed17b80*+Arial"/>
      <w:color w:val="4181C2"/>
      <w:sz w:val="24"/>
      <w:szCs w:val="24"/>
      <w:lang w:val="zh-CN"/>
    </w:rPr>
  </w:style>
  <w:style w:type="paragraph" w:customStyle="1" w:styleId="363">
    <w:name w:val="xl192"/>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rPr>
  </w:style>
  <w:style w:type="paragraph" w:customStyle="1" w:styleId="364">
    <w:name w:val="xl20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365">
    <w:name w:val="黑列表"/>
    <w:basedOn w:val="1"/>
    <w:qFormat/>
    <w:uiPriority w:val="0"/>
    <w:pPr>
      <w:tabs>
        <w:tab w:val="left" w:pos="1200"/>
      </w:tabs>
      <w:adjustRightInd w:val="0"/>
      <w:spacing w:line="300" w:lineRule="auto"/>
      <w:ind w:left="300" w:leftChars="200" w:hanging="100" w:hangingChars="100"/>
    </w:pPr>
    <w:rPr>
      <w:bCs/>
      <w:sz w:val="24"/>
    </w:rPr>
  </w:style>
  <w:style w:type="paragraph" w:customStyle="1" w:styleId="366">
    <w:name w:val="要点文字"/>
    <w:basedOn w:val="1"/>
    <w:qFormat/>
    <w:uiPriority w:val="0"/>
    <w:pPr>
      <w:tabs>
        <w:tab w:val="left" w:pos="170"/>
      </w:tabs>
      <w:suppressAutoHyphens/>
      <w:autoSpaceDE w:val="0"/>
      <w:autoSpaceDN w:val="0"/>
      <w:adjustRightInd w:val="0"/>
      <w:spacing w:after="227" w:line="360" w:lineRule="atLeast"/>
      <w:ind w:left="170" w:hanging="170"/>
      <w:textAlignment w:val="center"/>
    </w:pPr>
    <w:rPr>
      <w:rFonts w:ascii="ATC-6c494eea59279ed17b80*+Arial" w:eastAsia="ATC-6c494eea59279ed17b80*+Arial"/>
      <w:color w:val="000000"/>
      <w:sz w:val="20"/>
      <w:lang w:val="zh-CN"/>
    </w:rPr>
  </w:style>
  <w:style w:type="paragraph" w:customStyle="1" w:styleId="367">
    <w:name w:val="xl9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18"/>
      <w:szCs w:val="18"/>
    </w:rPr>
  </w:style>
  <w:style w:type="paragraph" w:customStyle="1" w:styleId="368">
    <w:name w:val="列表 21"/>
    <w:basedOn w:val="1"/>
    <w:qFormat/>
    <w:uiPriority w:val="0"/>
    <w:pPr>
      <w:tabs>
        <w:tab w:val="left" w:pos="1175"/>
      </w:tabs>
      <w:spacing w:line="400" w:lineRule="exact"/>
      <w:ind w:left="1175" w:leftChars="30" w:hanging="420"/>
    </w:pPr>
    <w:rPr>
      <w:rFonts w:ascii="宋体" w:hAnsi="宋体"/>
      <w:sz w:val="24"/>
      <w:szCs w:val="18"/>
    </w:rPr>
  </w:style>
  <w:style w:type="paragraph" w:customStyle="1" w:styleId="369">
    <w:name w:val="xl176"/>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370">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18"/>
      <w:szCs w:val="18"/>
    </w:rPr>
  </w:style>
  <w:style w:type="paragraph" w:customStyle="1" w:styleId="371">
    <w:name w:val="列表 1"/>
    <w:qFormat/>
    <w:uiPriority w:val="0"/>
    <w:pPr>
      <w:tabs>
        <w:tab w:val="left" w:pos="840"/>
      </w:tabs>
      <w:spacing w:beforeLines="50" w:after="200" w:line="276" w:lineRule="auto"/>
      <w:ind w:left="840" w:hanging="420"/>
    </w:pPr>
    <w:rPr>
      <w:rFonts w:ascii="Calibri" w:hAnsi="Calibri" w:eastAsia="楷体_GB2312" w:cs="Times New Roman"/>
      <w:sz w:val="24"/>
      <w:szCs w:val="22"/>
      <w:lang w:val="en-US" w:eastAsia="zh-CN" w:bidi="ar-SA"/>
    </w:rPr>
  </w:style>
  <w:style w:type="paragraph" w:customStyle="1" w:styleId="372">
    <w:name w:val="样式 首行缩进:  2 字符"/>
    <w:basedOn w:val="1"/>
    <w:qFormat/>
    <w:uiPriority w:val="0"/>
    <w:pPr>
      <w:spacing w:line="360" w:lineRule="auto"/>
      <w:ind w:firstLine="480" w:firstLineChars="200"/>
    </w:pPr>
    <w:rPr>
      <w:sz w:val="24"/>
    </w:rPr>
  </w:style>
  <w:style w:type="paragraph" w:customStyle="1" w:styleId="373">
    <w:name w:val="列表编号 51"/>
    <w:basedOn w:val="1"/>
    <w:qFormat/>
    <w:uiPriority w:val="0"/>
    <w:pPr>
      <w:numPr>
        <w:ilvl w:val="0"/>
        <w:numId w:val="22"/>
      </w:numPr>
    </w:pPr>
    <w:rPr>
      <w:szCs w:val="24"/>
    </w:rPr>
  </w:style>
  <w:style w:type="paragraph" w:customStyle="1" w:styleId="374">
    <w:name w:val="xl106"/>
    <w:basedOn w:val="1"/>
    <w:qFormat/>
    <w:uiPriority w:val="0"/>
    <w:pPr>
      <w:spacing w:before="100" w:beforeAutospacing="1" w:after="100" w:afterAutospacing="1"/>
      <w:textAlignment w:val="bottom"/>
    </w:pPr>
    <w:rPr>
      <w:rFonts w:ascii="宋体" w:hAnsi="宋体" w:cs="宋体"/>
      <w:sz w:val="24"/>
      <w:szCs w:val="24"/>
    </w:rPr>
  </w:style>
  <w:style w:type="paragraph" w:customStyle="1" w:styleId="375">
    <w:name w:val="boxblue"/>
    <w:basedOn w:val="1"/>
    <w:qFormat/>
    <w:uiPriority w:val="0"/>
    <w:pPr>
      <w:spacing w:before="100" w:beforeAutospacing="1" w:after="100" w:afterAutospacing="1"/>
    </w:pPr>
    <w:rPr>
      <w:rFonts w:ascii="宋体" w:hAnsi="宋体" w:cs="宋体"/>
      <w:sz w:val="24"/>
      <w:szCs w:val="24"/>
    </w:rPr>
  </w:style>
  <w:style w:type="paragraph" w:customStyle="1" w:styleId="376">
    <w:name w:val="普通(网站)1"/>
    <w:basedOn w:val="1"/>
    <w:qFormat/>
    <w:uiPriority w:val="0"/>
    <w:pPr>
      <w:spacing w:before="100" w:beforeAutospacing="1" w:after="100" w:afterAutospacing="1"/>
    </w:pPr>
    <w:rPr>
      <w:rFonts w:ascii="宋体" w:hAnsi="宋体" w:cs="宋体"/>
      <w:sz w:val="24"/>
    </w:rPr>
  </w:style>
  <w:style w:type="paragraph" w:customStyle="1" w:styleId="377">
    <w:name w:val="Table_Medium"/>
    <w:basedOn w:val="1"/>
    <w:qFormat/>
    <w:uiPriority w:val="0"/>
    <w:pPr>
      <w:spacing w:before="40" w:after="40"/>
    </w:pPr>
    <w:rPr>
      <w:rFonts w:ascii="Futura Bk" w:hAnsi="Futura Bk"/>
      <w:sz w:val="18"/>
    </w:rPr>
  </w:style>
  <w:style w:type="paragraph" w:customStyle="1" w:styleId="378">
    <w:name w:val="列表编号 21"/>
    <w:basedOn w:val="1"/>
    <w:qFormat/>
    <w:uiPriority w:val="0"/>
    <w:pPr>
      <w:numPr>
        <w:ilvl w:val="0"/>
        <w:numId w:val="23"/>
      </w:numPr>
    </w:pPr>
    <w:rPr>
      <w:szCs w:val="24"/>
    </w:rPr>
  </w:style>
  <w:style w:type="paragraph" w:customStyle="1" w:styleId="379">
    <w:name w:val="列表编号 41"/>
    <w:basedOn w:val="1"/>
    <w:qFormat/>
    <w:uiPriority w:val="0"/>
    <w:pPr>
      <w:numPr>
        <w:ilvl w:val="0"/>
        <w:numId w:val="24"/>
      </w:numPr>
    </w:pPr>
    <w:rPr>
      <w:szCs w:val="24"/>
    </w:rPr>
  </w:style>
  <w:style w:type="paragraph" w:customStyle="1" w:styleId="380">
    <w:name w:val="style19"/>
    <w:basedOn w:val="1"/>
    <w:qFormat/>
    <w:uiPriority w:val="0"/>
    <w:pPr>
      <w:spacing w:before="100" w:beforeAutospacing="1" w:after="100" w:afterAutospacing="1"/>
    </w:pPr>
    <w:rPr>
      <w:rFonts w:ascii="宋体" w:hAnsi="宋体" w:cs="宋体"/>
      <w:sz w:val="18"/>
      <w:szCs w:val="18"/>
    </w:rPr>
  </w:style>
  <w:style w:type="paragraph" w:customStyle="1" w:styleId="381">
    <w:name w:val="样式 DHCC 公司正文首行缩进:  2 字符"/>
    <w:basedOn w:val="1"/>
    <w:qFormat/>
    <w:uiPriority w:val="0"/>
    <w:pPr>
      <w:spacing w:line="360" w:lineRule="auto"/>
      <w:ind w:firstLine="200" w:firstLineChars="200"/>
    </w:pPr>
  </w:style>
  <w:style w:type="paragraph" w:customStyle="1" w:styleId="382">
    <w:name w:val="真正正文首行缩进2字符 + 左侧:  0 厘米1"/>
    <w:basedOn w:val="1"/>
    <w:qFormat/>
    <w:uiPriority w:val="0"/>
    <w:pPr>
      <w:spacing w:line="360" w:lineRule="auto"/>
      <w:ind w:firstLine="480"/>
    </w:pPr>
    <w:rPr>
      <w:rFonts w:cs="宋体"/>
      <w:sz w:val="24"/>
    </w:rPr>
  </w:style>
  <w:style w:type="paragraph" w:customStyle="1" w:styleId="383">
    <w:name w:val="列表接续1"/>
    <w:basedOn w:val="1"/>
    <w:qFormat/>
    <w:uiPriority w:val="0"/>
    <w:pPr>
      <w:spacing w:after="120" w:line="400" w:lineRule="exact"/>
      <w:ind w:left="420" w:leftChars="200" w:firstLine="108"/>
    </w:pPr>
    <w:rPr>
      <w:rFonts w:ascii="宋体" w:hAnsi="宋体"/>
      <w:sz w:val="24"/>
      <w:szCs w:val="18"/>
    </w:rPr>
  </w:style>
  <w:style w:type="paragraph" w:customStyle="1" w:styleId="384">
    <w:name w:val="表格文字"/>
    <w:basedOn w:val="51"/>
    <w:qFormat/>
    <w:uiPriority w:val="0"/>
    <w:pPr>
      <w:spacing w:before="20" w:after="20" w:line="240" w:lineRule="auto"/>
      <w:ind w:firstLine="0" w:firstLineChars="0"/>
    </w:pPr>
    <w:rPr>
      <w:rFonts w:ascii="Century Gothic" w:hAnsi="Century Gothic"/>
      <w:sz w:val="20"/>
    </w:rPr>
  </w:style>
  <w:style w:type="paragraph" w:customStyle="1" w:styleId="385">
    <w:name w:val="font9"/>
    <w:basedOn w:val="1"/>
    <w:qFormat/>
    <w:uiPriority w:val="0"/>
    <w:pPr>
      <w:spacing w:before="100" w:beforeAutospacing="1" w:after="100" w:afterAutospacing="1"/>
    </w:pPr>
    <w:rPr>
      <w:rFonts w:ascii="Arial" w:hAnsi="Arial" w:cs="Arial"/>
      <w:color w:val="000000"/>
      <w:sz w:val="18"/>
      <w:szCs w:val="18"/>
    </w:rPr>
  </w:style>
  <w:style w:type="paragraph" w:customStyle="1" w:styleId="386">
    <w:name w:val="前言、引言标题"/>
    <w:next w:val="1"/>
    <w:qFormat/>
    <w:uiPriority w:val="0"/>
    <w:pPr>
      <w:numPr>
        <w:ilvl w:val="0"/>
        <w:numId w:val="25"/>
      </w:numPr>
      <w:shd w:val="clear" w:color="FFFFFF" w:fill="FFFFFF"/>
      <w:spacing w:before="640" w:after="560" w:line="276" w:lineRule="auto"/>
      <w:jc w:val="center"/>
      <w:outlineLvl w:val="0"/>
    </w:pPr>
    <w:rPr>
      <w:rFonts w:ascii="黑体" w:hAnsi="Calibri" w:eastAsia="黑体" w:cs="Times New Roman"/>
      <w:sz w:val="32"/>
      <w:szCs w:val="22"/>
      <w:lang w:val="en-US" w:eastAsia="zh-CN" w:bidi="ar-SA"/>
    </w:rPr>
  </w:style>
  <w:style w:type="paragraph" w:customStyle="1" w:styleId="387">
    <w:name w:val="Table Text"/>
    <w:basedOn w:val="1"/>
    <w:qFormat/>
    <w:uiPriority w:val="0"/>
    <w:pPr>
      <w:spacing w:before="60" w:after="60"/>
    </w:pPr>
    <w:rPr>
      <w:szCs w:val="24"/>
    </w:rPr>
  </w:style>
  <w:style w:type="paragraph" w:customStyle="1" w:styleId="388">
    <w:name w:val="图文"/>
    <w:basedOn w:val="1"/>
    <w:qFormat/>
    <w:uiPriority w:val="0"/>
    <w:pPr>
      <w:adjustRightInd w:val="0"/>
      <w:snapToGrid w:val="0"/>
      <w:spacing w:after="50" w:line="360" w:lineRule="auto"/>
    </w:pPr>
    <w:rPr>
      <w:sz w:val="24"/>
      <w:szCs w:val="24"/>
    </w:rPr>
  </w:style>
  <w:style w:type="paragraph" w:customStyle="1" w:styleId="389">
    <w:name w:val="三级无标题条"/>
    <w:basedOn w:val="1"/>
    <w:qFormat/>
    <w:uiPriority w:val="0"/>
    <w:pPr>
      <w:numPr>
        <w:ilvl w:val="0"/>
        <w:numId w:val="26"/>
      </w:numPr>
      <w:ind w:left="0" w:firstLine="0"/>
    </w:pPr>
    <w:rPr>
      <w:szCs w:val="24"/>
    </w:rPr>
  </w:style>
  <w:style w:type="paragraph" w:customStyle="1" w:styleId="390">
    <w:name w:val="font11"/>
    <w:basedOn w:val="1"/>
    <w:qFormat/>
    <w:uiPriority w:val="0"/>
    <w:pPr>
      <w:spacing w:before="100" w:beforeAutospacing="1" w:after="100" w:afterAutospacing="1"/>
    </w:pPr>
    <w:rPr>
      <w:rFonts w:ascii="宋体" w:hAnsi="宋体" w:cs="宋体"/>
      <w:sz w:val="18"/>
      <w:szCs w:val="18"/>
    </w:rPr>
  </w:style>
  <w:style w:type="paragraph" w:customStyle="1" w:styleId="391">
    <w:name w:val="font7"/>
    <w:basedOn w:val="1"/>
    <w:qFormat/>
    <w:uiPriority w:val="0"/>
    <w:pPr>
      <w:spacing w:before="100" w:beforeAutospacing="1" w:after="100" w:afterAutospacing="1"/>
    </w:pPr>
    <w:rPr>
      <w:rFonts w:ascii="Arial" w:hAnsi="Arial" w:cs="Arial"/>
      <w:sz w:val="18"/>
      <w:szCs w:val="18"/>
    </w:rPr>
  </w:style>
  <w:style w:type="paragraph" w:customStyle="1" w:styleId="392">
    <w:name w:val="正文6"/>
    <w:basedOn w:val="1"/>
    <w:qFormat/>
    <w:uiPriority w:val="0"/>
    <w:pPr>
      <w:numPr>
        <w:ilvl w:val="0"/>
        <w:numId w:val="27"/>
      </w:numPr>
      <w:spacing w:before="60" w:after="60" w:line="360" w:lineRule="auto"/>
    </w:pPr>
    <w:rPr>
      <w:sz w:val="24"/>
    </w:rPr>
  </w:style>
  <w:style w:type="paragraph" w:customStyle="1" w:styleId="393">
    <w:name w:val="xl141"/>
    <w:basedOn w:val="1"/>
    <w:qFormat/>
    <w:uiPriority w:val="0"/>
    <w:pPr>
      <w:pBdr>
        <w:bottom w:val="single" w:color="000000" w:sz="4" w:space="0"/>
      </w:pBdr>
      <w:spacing w:before="100" w:beforeAutospacing="1" w:after="100" w:afterAutospacing="1"/>
    </w:pPr>
    <w:rPr>
      <w:rFonts w:ascii="宋体" w:hAnsi="宋体" w:cs="宋体"/>
      <w:b/>
      <w:bCs/>
      <w:color w:val="000000"/>
    </w:rPr>
  </w:style>
  <w:style w:type="paragraph" w:customStyle="1" w:styleId="394">
    <w:name w:val="xl23"/>
    <w:basedOn w:val="1"/>
    <w:qFormat/>
    <w:uiPriority w:val="0"/>
    <w:pPr>
      <w:spacing w:before="100" w:beforeAutospacing="1" w:after="100" w:afterAutospacing="1" w:line="360" w:lineRule="auto"/>
    </w:pPr>
    <w:rPr>
      <w:sz w:val="24"/>
      <w:szCs w:val="24"/>
    </w:rPr>
  </w:style>
  <w:style w:type="paragraph" w:customStyle="1" w:styleId="395">
    <w:name w:val="h1text"/>
    <w:basedOn w:val="1"/>
    <w:qFormat/>
    <w:uiPriority w:val="0"/>
    <w:pPr>
      <w:spacing w:before="100" w:beforeAutospacing="1" w:after="100" w:afterAutospacing="1"/>
    </w:pPr>
    <w:rPr>
      <w:rFonts w:ascii="宋体" w:hAnsi="宋体"/>
      <w:sz w:val="24"/>
      <w:szCs w:val="24"/>
    </w:rPr>
  </w:style>
  <w:style w:type="paragraph" w:customStyle="1" w:styleId="396">
    <w:name w:val="xl111"/>
    <w:basedOn w:val="1"/>
    <w:qFormat/>
    <w:uiPriority w:val="0"/>
    <w:pPr>
      <w:spacing w:before="100" w:beforeAutospacing="1" w:after="100" w:afterAutospacing="1"/>
      <w:textAlignment w:val="bottom"/>
    </w:pPr>
    <w:rPr>
      <w:rFonts w:ascii="宋体" w:hAnsi="宋体" w:cs="宋体"/>
      <w:sz w:val="24"/>
      <w:szCs w:val="24"/>
    </w:rPr>
  </w:style>
  <w:style w:type="paragraph" w:customStyle="1" w:styleId="397">
    <w:name w:val="默认段落字体 Para Char Char Char Char Char Char Char"/>
    <w:basedOn w:val="1"/>
    <w:qFormat/>
    <w:uiPriority w:val="0"/>
    <w:pPr>
      <w:tabs>
        <w:tab w:val="left" w:pos="4665"/>
        <w:tab w:val="left" w:pos="8970"/>
      </w:tabs>
      <w:ind w:firstLine="400"/>
    </w:pPr>
    <w:rPr>
      <w:rFonts w:ascii="Tahoma" w:hAnsi="Tahoma"/>
      <w:sz w:val="24"/>
    </w:rPr>
  </w:style>
  <w:style w:type="paragraph" w:customStyle="1" w:styleId="398">
    <w:name w:val="xl167"/>
    <w:basedOn w:val="1"/>
    <w:qFormat/>
    <w:uiPriority w:val="0"/>
    <w:pPr>
      <w:spacing w:before="100" w:beforeAutospacing="1" w:after="100" w:afterAutospacing="1"/>
    </w:pPr>
    <w:rPr>
      <w:rFonts w:ascii="宋体" w:hAnsi="宋体" w:cs="宋体"/>
      <w:sz w:val="24"/>
      <w:szCs w:val="24"/>
    </w:rPr>
  </w:style>
  <w:style w:type="paragraph" w:customStyle="1" w:styleId="399">
    <w:name w:val="head2"/>
    <w:basedOn w:val="1"/>
    <w:qFormat/>
    <w:uiPriority w:val="0"/>
    <w:pPr>
      <w:spacing w:before="100" w:beforeAutospacing="1" w:after="100" w:afterAutospacing="1"/>
    </w:pPr>
    <w:rPr>
      <w:rFonts w:ascii="宋体" w:hAnsi="宋体" w:cs="宋体"/>
      <w:sz w:val="24"/>
      <w:szCs w:val="24"/>
    </w:rPr>
  </w:style>
  <w:style w:type="paragraph" w:customStyle="1" w:styleId="400">
    <w:name w:val="font13"/>
    <w:basedOn w:val="1"/>
    <w:qFormat/>
    <w:uiPriority w:val="0"/>
    <w:pPr>
      <w:spacing w:before="100" w:beforeAutospacing="1" w:after="100" w:afterAutospacing="1"/>
    </w:pPr>
    <w:rPr>
      <w:rFonts w:ascii="宋体" w:hAnsi="宋体" w:cs="宋体"/>
      <w:sz w:val="18"/>
      <w:szCs w:val="18"/>
    </w:rPr>
  </w:style>
  <w:style w:type="paragraph" w:customStyle="1" w:styleId="401">
    <w:name w:val="font12"/>
    <w:basedOn w:val="1"/>
    <w:qFormat/>
    <w:uiPriority w:val="0"/>
    <w:pPr>
      <w:spacing w:before="100" w:beforeAutospacing="1" w:after="100" w:afterAutospacing="1"/>
    </w:pPr>
    <w:rPr>
      <w:rFonts w:ascii="宋体" w:hAnsi="宋体" w:cs="宋体"/>
      <w:color w:val="000000"/>
      <w:sz w:val="18"/>
      <w:szCs w:val="18"/>
    </w:rPr>
  </w:style>
  <w:style w:type="paragraph" w:customStyle="1" w:styleId="402">
    <w:name w:val="表格标注"/>
    <w:basedOn w:val="1"/>
    <w:qFormat/>
    <w:uiPriority w:val="0"/>
    <w:pPr>
      <w:numPr>
        <w:ilvl w:val="0"/>
        <w:numId w:val="28"/>
      </w:numPr>
      <w:spacing w:line="360" w:lineRule="auto"/>
    </w:pPr>
    <w:rPr>
      <w:szCs w:val="24"/>
    </w:rPr>
  </w:style>
  <w:style w:type="paragraph" w:customStyle="1" w:styleId="403">
    <w:name w:val="p921"/>
    <w:basedOn w:val="1"/>
    <w:qFormat/>
    <w:uiPriority w:val="0"/>
    <w:pPr>
      <w:spacing w:before="100" w:beforeAutospacing="1" w:after="100" w:afterAutospacing="1"/>
    </w:pPr>
    <w:rPr>
      <w:rFonts w:ascii="Arial Unicode MS" w:hAnsi="Arial Unicode MS"/>
      <w:color w:val="000000"/>
      <w:sz w:val="24"/>
      <w:szCs w:val="24"/>
    </w:rPr>
  </w:style>
  <w:style w:type="paragraph" w:customStyle="1" w:styleId="404">
    <w:name w:val="font5"/>
    <w:basedOn w:val="1"/>
    <w:qFormat/>
    <w:uiPriority w:val="0"/>
    <w:pPr>
      <w:spacing w:before="100" w:beforeAutospacing="1" w:after="100" w:afterAutospacing="1"/>
    </w:pPr>
    <w:rPr>
      <w:rFonts w:ascii="宋体" w:hAnsi="宋体" w:cs="宋体"/>
      <w:b/>
      <w:bCs/>
      <w:sz w:val="18"/>
      <w:szCs w:val="18"/>
    </w:rPr>
  </w:style>
  <w:style w:type="paragraph" w:customStyle="1" w:styleId="405">
    <w:name w:val="缩进 Char Char Char Char"/>
    <w:basedOn w:val="61"/>
    <w:qFormat/>
    <w:uiPriority w:val="0"/>
    <w:pPr>
      <w:spacing w:beforeLines="50" w:afterLines="50" w:line="360" w:lineRule="auto"/>
      <w:ind w:firstLine="480"/>
    </w:pPr>
    <w:rPr>
      <w:rFonts w:ascii="Tahoma" w:hAnsi="Tahoma"/>
      <w:sz w:val="24"/>
      <w:szCs w:val="24"/>
    </w:rPr>
  </w:style>
  <w:style w:type="paragraph" w:customStyle="1" w:styleId="406">
    <w:name w:val="xl205"/>
    <w:basedOn w:val="1"/>
    <w:qFormat/>
    <w:uiPriority w:val="0"/>
    <w:pPr>
      <w:pBdr>
        <w:top w:val="single" w:color="auto" w:sz="8" w:space="0"/>
        <w:left w:val="single" w:color="auto" w:sz="8" w:space="0"/>
        <w:right w:val="single" w:color="auto" w:sz="4" w:space="0"/>
      </w:pBdr>
      <w:spacing w:before="100" w:beforeAutospacing="1" w:after="100" w:afterAutospacing="1"/>
      <w:jc w:val="center"/>
    </w:pPr>
    <w:rPr>
      <w:rFonts w:ascii="宋体" w:hAnsi="宋体" w:cs="宋体"/>
      <w:b/>
      <w:bCs/>
    </w:rPr>
  </w:style>
  <w:style w:type="paragraph" w:customStyle="1" w:styleId="407">
    <w:name w:val="标准正文"/>
    <w:basedOn w:val="1"/>
    <w:qFormat/>
    <w:uiPriority w:val="0"/>
    <w:pPr>
      <w:adjustRightInd w:val="0"/>
      <w:spacing w:before="120" w:line="400" w:lineRule="atLeast"/>
      <w:ind w:firstLine="576"/>
      <w:textAlignment w:val="baseline"/>
    </w:pPr>
    <w:rPr>
      <w:rFonts w:eastAsia="楷体_GB2312"/>
      <w:sz w:val="28"/>
    </w:rPr>
  </w:style>
  <w:style w:type="paragraph" w:customStyle="1" w:styleId="408">
    <w:name w:val="Item List"/>
    <w:qFormat/>
    <w:uiPriority w:val="0"/>
    <w:pPr>
      <w:tabs>
        <w:tab w:val="left" w:pos="360"/>
        <w:tab w:val="left" w:pos="2211"/>
      </w:tabs>
      <w:spacing w:after="200" w:line="300" w:lineRule="auto"/>
      <w:jc w:val="both"/>
    </w:pPr>
    <w:rPr>
      <w:rFonts w:ascii="Arial" w:hAnsi="Arial" w:eastAsia="宋体" w:cs="Times New Roman"/>
      <w:sz w:val="21"/>
      <w:szCs w:val="22"/>
      <w:lang w:val="en-US" w:eastAsia="zh-CN" w:bidi="ar-SA"/>
    </w:rPr>
  </w:style>
  <w:style w:type="paragraph" w:customStyle="1" w:styleId="409">
    <w:name w:val="正文1"/>
    <w:basedOn w:val="1"/>
    <w:qFormat/>
    <w:uiPriority w:val="0"/>
    <w:pPr>
      <w:adjustRightInd w:val="0"/>
      <w:spacing w:line="360" w:lineRule="auto"/>
    </w:pPr>
    <w:rPr>
      <w:color w:val="000000"/>
      <w:sz w:val="24"/>
    </w:rPr>
  </w:style>
  <w:style w:type="paragraph" w:customStyle="1" w:styleId="410">
    <w:name w:val="xl138"/>
    <w:basedOn w:val="1"/>
    <w:qFormat/>
    <w:uiPriority w:val="0"/>
    <w:pPr>
      <w:spacing w:before="100" w:beforeAutospacing="1" w:after="100" w:afterAutospacing="1"/>
    </w:pPr>
    <w:rPr>
      <w:rFonts w:ascii="宋体" w:hAnsi="宋体" w:cs="宋体"/>
    </w:rPr>
  </w:style>
  <w:style w:type="paragraph" w:customStyle="1" w:styleId="411">
    <w:name w:val="font10"/>
    <w:basedOn w:val="1"/>
    <w:qFormat/>
    <w:uiPriority w:val="0"/>
    <w:pPr>
      <w:spacing w:before="100" w:beforeAutospacing="1" w:after="100" w:afterAutospacing="1"/>
    </w:pPr>
    <w:rPr>
      <w:rFonts w:ascii="宋体" w:hAnsi="宋体" w:cs="宋体"/>
      <w:color w:val="000000"/>
      <w:sz w:val="18"/>
      <w:szCs w:val="18"/>
    </w:rPr>
  </w:style>
  <w:style w:type="paragraph" w:customStyle="1" w:styleId="412">
    <w:name w:val="xl155"/>
    <w:basedOn w:val="1"/>
    <w:qFormat/>
    <w:uiPriority w:val="0"/>
    <w:pPr>
      <w:spacing w:before="100" w:beforeAutospacing="1" w:after="100" w:afterAutospacing="1"/>
    </w:pPr>
    <w:rPr>
      <w:rFonts w:ascii="宋体" w:hAnsi="宋体" w:cs="宋体"/>
    </w:rPr>
  </w:style>
  <w:style w:type="paragraph" w:customStyle="1" w:styleId="413">
    <w:name w:val="列表接续 31"/>
    <w:basedOn w:val="1"/>
    <w:qFormat/>
    <w:uiPriority w:val="0"/>
    <w:pPr>
      <w:spacing w:after="120" w:line="400" w:lineRule="exact"/>
      <w:ind w:left="1260" w:leftChars="600" w:firstLine="108"/>
    </w:pPr>
    <w:rPr>
      <w:rFonts w:ascii="宋体" w:hAnsi="宋体"/>
      <w:sz w:val="24"/>
      <w:szCs w:val="18"/>
    </w:rPr>
  </w:style>
  <w:style w:type="paragraph" w:customStyle="1" w:styleId="414">
    <w:name w:val="Char11"/>
    <w:basedOn w:val="1"/>
    <w:qFormat/>
    <w:uiPriority w:val="0"/>
    <w:pPr>
      <w:adjustRightInd w:val="0"/>
      <w:spacing w:beforeLines="100"/>
      <w:ind w:right="540" w:rightChars="225"/>
    </w:pPr>
    <w:rPr>
      <w:rFonts w:ascii="Tahoma" w:hAnsi="Tahoma"/>
      <w:sz w:val="24"/>
      <w:szCs w:val="24"/>
    </w:rPr>
  </w:style>
  <w:style w:type="paragraph" w:customStyle="1" w:styleId="415">
    <w:name w:val="font8"/>
    <w:basedOn w:val="1"/>
    <w:qFormat/>
    <w:uiPriority w:val="0"/>
    <w:pPr>
      <w:spacing w:before="100" w:beforeAutospacing="1" w:after="100" w:afterAutospacing="1"/>
    </w:pPr>
    <w:rPr>
      <w:rFonts w:ascii="宋体" w:hAnsi="宋体" w:cs="宋体"/>
      <w:color w:val="000000"/>
      <w:sz w:val="18"/>
      <w:szCs w:val="18"/>
    </w:rPr>
  </w:style>
  <w:style w:type="paragraph" w:customStyle="1" w:styleId="416">
    <w:name w:val="size3"/>
    <w:basedOn w:val="1"/>
    <w:qFormat/>
    <w:uiPriority w:val="0"/>
    <w:pPr>
      <w:spacing w:before="100" w:beforeAutospacing="1" w:after="100" w:afterAutospacing="1"/>
    </w:pPr>
    <w:rPr>
      <w:rFonts w:ascii="宋体" w:hAnsi="宋体" w:cs="宋体"/>
      <w:color w:val="000000"/>
      <w:sz w:val="18"/>
      <w:szCs w:val="18"/>
    </w:rPr>
  </w:style>
  <w:style w:type="paragraph" w:customStyle="1" w:styleId="417">
    <w:name w:val="正文缩2"/>
    <w:basedOn w:val="1"/>
    <w:qFormat/>
    <w:uiPriority w:val="0"/>
    <w:pPr>
      <w:spacing w:before="120" w:after="120" w:line="440" w:lineRule="atLeast"/>
      <w:ind w:firstLine="510"/>
    </w:pPr>
    <w:rPr>
      <w:sz w:val="24"/>
    </w:rPr>
  </w:style>
  <w:style w:type="paragraph" w:customStyle="1" w:styleId="418">
    <w:name w:val="段落内容"/>
    <w:basedOn w:val="1"/>
    <w:qFormat/>
    <w:uiPriority w:val="0"/>
    <w:pPr>
      <w:snapToGrid w:val="0"/>
      <w:spacing w:line="440" w:lineRule="atLeast"/>
      <w:ind w:firstLine="200" w:firstLineChars="200"/>
    </w:pPr>
    <w:rPr>
      <w:sz w:val="28"/>
    </w:rPr>
  </w:style>
  <w:style w:type="paragraph" w:customStyle="1" w:styleId="419">
    <w:name w:val="列表接续 21"/>
    <w:basedOn w:val="1"/>
    <w:qFormat/>
    <w:uiPriority w:val="0"/>
    <w:pPr>
      <w:spacing w:after="120" w:line="400" w:lineRule="exact"/>
      <w:ind w:left="840" w:leftChars="400" w:firstLine="108"/>
    </w:pPr>
    <w:rPr>
      <w:rFonts w:ascii="宋体" w:hAnsi="宋体"/>
      <w:sz w:val="24"/>
      <w:szCs w:val="18"/>
    </w:rPr>
  </w:style>
  <w:style w:type="paragraph" w:customStyle="1" w:styleId="420">
    <w:name w:val="xl105"/>
    <w:basedOn w:val="1"/>
    <w:qFormat/>
    <w:uiPriority w:val="0"/>
    <w:pPr>
      <w:spacing w:before="100" w:beforeAutospacing="1" w:after="100" w:afterAutospacing="1"/>
    </w:pPr>
    <w:rPr>
      <w:rFonts w:ascii="宋体" w:hAnsi="宋体" w:cs="宋体"/>
      <w:sz w:val="24"/>
      <w:szCs w:val="24"/>
    </w:rPr>
  </w:style>
  <w:style w:type="paragraph" w:customStyle="1" w:styleId="421">
    <w:name w:val="xl201"/>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422">
    <w:name w:val="itemlist"/>
    <w:basedOn w:val="1"/>
    <w:qFormat/>
    <w:uiPriority w:val="0"/>
    <w:pPr>
      <w:spacing w:line="300" w:lineRule="atLeast"/>
    </w:pPr>
    <w:rPr>
      <w:rFonts w:ascii="宋体" w:hAnsi="宋体" w:cs="宋体"/>
      <w:sz w:val="18"/>
      <w:szCs w:val="18"/>
    </w:rPr>
  </w:style>
  <w:style w:type="paragraph" w:customStyle="1" w:styleId="423">
    <w:name w:val="xl19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424">
    <w:name w:val="xl109"/>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sz w:val="18"/>
      <w:szCs w:val="18"/>
    </w:rPr>
  </w:style>
  <w:style w:type="paragraph" w:customStyle="1" w:styleId="425">
    <w:name w:val="Char1 Char Char Char Char Char Char Char Char1 Char Char Char Char Char Char Char Char Char Char Char Char Char Char Char Char Char Char Char"/>
    <w:basedOn w:val="1"/>
    <w:qFormat/>
    <w:uiPriority w:val="0"/>
    <w:pPr>
      <w:adjustRightInd w:val="0"/>
    </w:pPr>
    <w:rPr>
      <w:rFonts w:ascii="Tahoma" w:hAnsi="Tahoma"/>
      <w:sz w:val="24"/>
    </w:rPr>
  </w:style>
  <w:style w:type="paragraph" w:customStyle="1" w:styleId="426">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427">
    <w:name w:val="xl193"/>
    <w:basedOn w:val="1"/>
    <w:qFormat/>
    <w:uiPriority w:val="0"/>
    <w:pPr>
      <w:pBdr>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428">
    <w:name w:val="H2 List Num"/>
    <w:basedOn w:val="1"/>
    <w:qFormat/>
    <w:uiPriority w:val="0"/>
    <w:pPr>
      <w:numPr>
        <w:ilvl w:val="1"/>
        <w:numId w:val="15"/>
      </w:numPr>
      <w:tabs>
        <w:tab w:val="left" w:pos="1170"/>
        <w:tab w:val="left" w:pos="1440"/>
        <w:tab w:val="clear" w:pos="2160"/>
      </w:tabs>
      <w:spacing w:after="60"/>
    </w:pPr>
    <w:rPr>
      <w:rFonts w:ascii="Times" w:hAnsi="Times"/>
    </w:rPr>
  </w:style>
  <w:style w:type="paragraph" w:customStyle="1" w:styleId="429">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430">
    <w:name w:val="Char Char Char Char Char Char Char1"/>
    <w:basedOn w:val="75"/>
    <w:qFormat/>
    <w:uiPriority w:val="0"/>
    <w:pPr>
      <w:shd w:val="clear" w:color="auto" w:fill="000080"/>
      <w:adjustRightInd w:val="0"/>
      <w:spacing w:line="436" w:lineRule="exact"/>
      <w:ind w:left="357"/>
      <w:outlineLvl w:val="3"/>
    </w:pPr>
    <w:rPr>
      <w:rFonts w:ascii="Tahoma" w:hAnsi="Tahoma"/>
      <w:b/>
      <w:sz w:val="24"/>
      <w:szCs w:val="24"/>
    </w:rPr>
  </w:style>
  <w:style w:type="paragraph" w:customStyle="1" w:styleId="431">
    <w:name w:val="xl7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432">
    <w:name w:val="xl8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18"/>
      <w:szCs w:val="18"/>
    </w:rPr>
  </w:style>
  <w:style w:type="paragraph" w:customStyle="1" w:styleId="433">
    <w:name w:val="at2"/>
    <w:basedOn w:val="1"/>
    <w:qFormat/>
    <w:uiPriority w:val="0"/>
    <w:pPr>
      <w:tabs>
        <w:tab w:val="left" w:pos="8295"/>
      </w:tabs>
      <w:autoSpaceDE w:val="0"/>
      <w:autoSpaceDN w:val="0"/>
      <w:spacing w:before="120" w:after="120" w:line="400" w:lineRule="exact"/>
      <w:ind w:left="525" w:hanging="525"/>
    </w:pPr>
    <w:rPr>
      <w:rFonts w:eastAsia="华文仿宋"/>
      <w:sz w:val="24"/>
    </w:rPr>
  </w:style>
  <w:style w:type="paragraph" w:customStyle="1" w:styleId="434">
    <w:name w:val="xl178"/>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435">
    <w:name w:val="text"/>
    <w:basedOn w:val="1"/>
    <w:qFormat/>
    <w:uiPriority w:val="0"/>
    <w:pPr>
      <w:ind w:firstLine="200" w:firstLineChars="200"/>
    </w:pPr>
    <w:rPr>
      <w:rFonts w:ascii="Arial" w:hAnsi="Arial"/>
      <w:sz w:val="24"/>
    </w:rPr>
  </w:style>
  <w:style w:type="paragraph" w:customStyle="1" w:styleId="436">
    <w:name w:val="xl169"/>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w:hAnsi="宋体" w:cs="宋体"/>
      <w:sz w:val="24"/>
      <w:szCs w:val="24"/>
    </w:rPr>
  </w:style>
  <w:style w:type="paragraph" w:customStyle="1" w:styleId="437">
    <w:name w:val="xl163"/>
    <w:basedOn w:val="1"/>
    <w:qFormat/>
    <w:uiPriority w:val="0"/>
    <w:pPr>
      <w:pBdr>
        <w:bottom w:val="single" w:color="000000" w:sz="4" w:space="0"/>
      </w:pBdr>
      <w:spacing w:before="100" w:beforeAutospacing="1" w:after="100" w:afterAutospacing="1"/>
      <w:jc w:val="right"/>
    </w:pPr>
    <w:rPr>
      <w:rFonts w:ascii="宋体" w:hAnsi="宋体" w:cs="宋体"/>
      <w:sz w:val="24"/>
      <w:szCs w:val="24"/>
    </w:rPr>
  </w:style>
  <w:style w:type="paragraph" w:customStyle="1" w:styleId="438">
    <w:name w:val="xl143"/>
    <w:basedOn w:val="1"/>
    <w:qFormat/>
    <w:uiPriority w:val="0"/>
    <w:pPr>
      <w:pBdr>
        <w:top w:val="single" w:color="000000" w:sz="4" w:space="0"/>
        <w:left w:val="single" w:color="000000" w:sz="4" w:space="0"/>
        <w:right w:val="single" w:color="000000" w:sz="4" w:space="0"/>
      </w:pBdr>
      <w:shd w:val="clear" w:color="000000" w:fill="C0C0C0"/>
      <w:spacing w:before="100" w:beforeAutospacing="1" w:after="100" w:afterAutospacing="1"/>
    </w:pPr>
    <w:rPr>
      <w:rFonts w:ascii="宋体" w:hAnsi="宋体" w:cs="宋体"/>
      <w:b/>
      <w:bCs/>
      <w:color w:val="000000"/>
      <w:sz w:val="24"/>
      <w:szCs w:val="24"/>
    </w:rPr>
  </w:style>
  <w:style w:type="paragraph" w:customStyle="1" w:styleId="439">
    <w:name w:val="样式 样式 文档正文 + 首行缩进:  2.25 字符 段后: 0.5 行 + 首行缩进:  2 字符"/>
    <w:qFormat/>
    <w:uiPriority w:val="0"/>
    <w:pPr>
      <w:spacing w:after="120" w:line="360" w:lineRule="auto"/>
      <w:ind w:firstLine="200" w:firstLineChars="200"/>
    </w:pPr>
    <w:rPr>
      <w:rFonts w:ascii="宋体" w:hAnsi="宋体" w:eastAsia="宋体" w:cs="Times New Roman"/>
      <w:sz w:val="24"/>
      <w:szCs w:val="24"/>
      <w:lang w:val="en-US" w:eastAsia="zh-CN" w:bidi="ar-SA"/>
    </w:rPr>
  </w:style>
  <w:style w:type="paragraph" w:customStyle="1" w:styleId="440">
    <w:name w:val="Header1"/>
    <w:basedOn w:val="272"/>
    <w:next w:val="272"/>
    <w:qFormat/>
    <w:uiPriority w:val="0"/>
    <w:rPr>
      <w:rFonts w:eastAsia="??"/>
      <w:sz w:val="24"/>
      <w:szCs w:val="24"/>
    </w:rPr>
  </w:style>
  <w:style w:type="paragraph" w:customStyle="1" w:styleId="441">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sz w:val="24"/>
      <w:szCs w:val="24"/>
    </w:rPr>
  </w:style>
  <w:style w:type="paragraph" w:customStyle="1" w:styleId="442">
    <w:name w:val="xl1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443">
    <w:name w:val="xl209"/>
    <w:basedOn w:val="1"/>
    <w:qFormat/>
    <w:uiPriority w:val="0"/>
    <w:pPr>
      <w:pBdr>
        <w:top w:val="single" w:color="auto" w:sz="8" w:space="0"/>
        <w:left w:val="single" w:color="auto" w:sz="8"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444">
    <w:name w:val="H1 text"/>
    <w:basedOn w:val="1"/>
    <w:qFormat/>
    <w:uiPriority w:val="0"/>
    <w:pPr>
      <w:spacing w:before="60" w:after="120"/>
      <w:ind w:left="540"/>
    </w:pPr>
  </w:style>
  <w:style w:type="paragraph" w:customStyle="1" w:styleId="445">
    <w:name w:val="表格正文"/>
    <w:basedOn w:val="1"/>
    <w:qFormat/>
    <w:uiPriority w:val="0"/>
    <w:pPr>
      <w:spacing w:before="20" w:after="20" w:line="400" w:lineRule="exact"/>
    </w:pPr>
  </w:style>
  <w:style w:type="paragraph" w:customStyle="1" w:styleId="446">
    <w:name w:val="xl166"/>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447">
    <w:name w:val="列出段落11"/>
    <w:basedOn w:val="1"/>
    <w:qFormat/>
    <w:uiPriority w:val="0"/>
    <w:pPr>
      <w:ind w:firstLine="420" w:firstLineChars="200"/>
    </w:pPr>
  </w:style>
  <w:style w:type="paragraph" w:customStyle="1" w:styleId="448">
    <w:name w:val="列表1"/>
    <w:basedOn w:val="1"/>
    <w:qFormat/>
    <w:uiPriority w:val="0"/>
    <w:pPr>
      <w:tabs>
        <w:tab w:val="left" w:pos="720"/>
        <w:tab w:val="left" w:pos="1500"/>
      </w:tabs>
      <w:spacing w:line="240" w:lineRule="atLeast"/>
      <w:ind w:left="1500" w:leftChars="30" w:hanging="420"/>
    </w:pPr>
    <w:rPr>
      <w:rFonts w:ascii="宋体" w:hAnsi="宋体"/>
      <w:bCs/>
      <w:sz w:val="24"/>
    </w:rPr>
  </w:style>
  <w:style w:type="paragraph" w:customStyle="1" w:styleId="449">
    <w:name w:val="1525"/>
    <w:basedOn w:val="1"/>
    <w:qFormat/>
    <w:uiPriority w:val="0"/>
    <w:pPr>
      <w:spacing w:before="100" w:beforeAutospacing="1" w:after="100" w:afterAutospacing="1" w:line="240" w:lineRule="atLeast"/>
    </w:pPr>
    <w:rPr>
      <w:rFonts w:ascii="宋体" w:hAnsi="宋体" w:cs="宋体"/>
      <w:sz w:val="18"/>
      <w:szCs w:val="18"/>
    </w:rPr>
  </w:style>
  <w:style w:type="paragraph" w:customStyle="1" w:styleId="450">
    <w:name w:val="1名"/>
    <w:basedOn w:val="1"/>
    <w:qFormat/>
    <w:uiPriority w:val="0"/>
    <w:pPr>
      <w:spacing w:before="120"/>
    </w:pPr>
    <w:rPr>
      <w:rFonts w:ascii="宋体" w:hAnsi="宋体" w:cs="宋体"/>
      <w:sz w:val="28"/>
      <w:szCs w:val="28"/>
    </w:rPr>
  </w:style>
  <w:style w:type="paragraph" w:customStyle="1" w:styleId="451">
    <w:name w:val="xl10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18"/>
      <w:szCs w:val="18"/>
    </w:rPr>
  </w:style>
  <w:style w:type="paragraph" w:customStyle="1" w:styleId="452">
    <w:name w:val="xl162"/>
    <w:basedOn w:val="1"/>
    <w:qFormat/>
    <w:uiPriority w:val="0"/>
    <w:pPr>
      <w:pBdr>
        <w:bottom w:val="single" w:color="000000" w:sz="4" w:space="0"/>
      </w:pBdr>
      <w:spacing w:before="100" w:beforeAutospacing="1" w:after="100" w:afterAutospacing="1"/>
      <w:jc w:val="right"/>
    </w:pPr>
    <w:rPr>
      <w:rFonts w:ascii="宋体" w:hAnsi="宋体" w:cs="宋体"/>
      <w:b/>
      <w:bCs/>
      <w:color w:val="000000"/>
    </w:rPr>
  </w:style>
  <w:style w:type="paragraph" w:customStyle="1" w:styleId="453">
    <w:name w:val="表格正文中 + 两端对齐"/>
    <w:basedOn w:val="1"/>
    <w:qFormat/>
    <w:uiPriority w:val="0"/>
    <w:pPr>
      <w:spacing w:line="240" w:lineRule="atLeast"/>
    </w:pPr>
    <w:rPr>
      <w:rFonts w:cs="宋体"/>
      <w:sz w:val="24"/>
    </w:rPr>
  </w:style>
  <w:style w:type="paragraph" w:customStyle="1" w:styleId="454">
    <w:name w:val="±í¸ñ1"/>
    <w:basedOn w:val="1"/>
    <w:qFormat/>
    <w:uiPriority w:val="0"/>
    <w:pPr>
      <w:overflowPunct w:val="0"/>
      <w:autoSpaceDE w:val="0"/>
      <w:autoSpaceDN w:val="0"/>
      <w:adjustRightInd w:val="0"/>
      <w:jc w:val="center"/>
    </w:pPr>
    <w:rPr>
      <w:b/>
      <w:sz w:val="18"/>
    </w:rPr>
  </w:style>
  <w:style w:type="paragraph" w:customStyle="1" w:styleId="455">
    <w:name w:val="表头"/>
    <w:qFormat/>
    <w:uiPriority w:val="0"/>
    <w:pPr>
      <w:spacing w:after="200" w:line="276" w:lineRule="auto"/>
    </w:pPr>
    <w:rPr>
      <w:rFonts w:ascii="Arial" w:hAnsi="Arial" w:eastAsia="宋体" w:cs="Times New Roman"/>
      <w:kern w:val="2"/>
      <w:sz w:val="18"/>
      <w:szCs w:val="24"/>
      <w:lang w:val="en-US" w:eastAsia="zh-CN" w:bidi="ar-SA"/>
    </w:rPr>
  </w:style>
  <w:style w:type="paragraph" w:customStyle="1" w:styleId="456">
    <w:name w:val="xl140"/>
    <w:basedOn w:val="1"/>
    <w:qFormat/>
    <w:uiPriority w:val="0"/>
    <w:pPr>
      <w:pBdr>
        <w:bottom w:val="single" w:color="000000" w:sz="4" w:space="0"/>
      </w:pBdr>
      <w:spacing w:before="100" w:beforeAutospacing="1" w:after="100" w:afterAutospacing="1"/>
      <w:jc w:val="center"/>
    </w:pPr>
    <w:rPr>
      <w:rFonts w:ascii="宋体" w:hAnsi="宋体" w:cs="宋体"/>
      <w:b/>
      <w:bCs/>
      <w:color w:val="000000"/>
    </w:rPr>
  </w:style>
  <w:style w:type="paragraph" w:customStyle="1" w:styleId="457">
    <w:name w:val="xl1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458">
    <w:name w:val="称呼1"/>
    <w:basedOn w:val="1"/>
    <w:next w:val="1"/>
    <w:qFormat/>
    <w:uiPriority w:val="0"/>
    <w:rPr>
      <w:rFonts w:ascii="宋体" w:hAnsi="宋体" w:eastAsia="仿宋_GB2312" w:cs="宋体"/>
      <w:szCs w:val="28"/>
    </w:rPr>
  </w:style>
  <w:style w:type="paragraph" w:customStyle="1" w:styleId="459">
    <w:name w:val="TOC 标题1"/>
    <w:basedOn w:val="3"/>
    <w:next w:val="1"/>
    <w:qFormat/>
    <w:uiPriority w:val="0"/>
    <w:pPr>
      <w:outlineLvl w:val="9"/>
    </w:pPr>
    <w:rPr>
      <w:iCs/>
    </w:rPr>
  </w:style>
  <w:style w:type="paragraph" w:customStyle="1" w:styleId="460">
    <w:name w:val="xl177"/>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461">
    <w:name w:val="xl19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462">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8"/>
      <w:szCs w:val="18"/>
    </w:rPr>
  </w:style>
  <w:style w:type="paragraph" w:customStyle="1" w:styleId="463">
    <w:name w:val="xl189"/>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464">
    <w:name w:val="正文表格"/>
    <w:basedOn w:val="1"/>
    <w:qFormat/>
    <w:uiPriority w:val="0"/>
  </w:style>
  <w:style w:type="paragraph" w:customStyle="1" w:styleId="465">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b/>
      <w:bCs/>
      <w:sz w:val="18"/>
      <w:szCs w:val="18"/>
    </w:rPr>
  </w:style>
  <w:style w:type="character" w:customStyle="1" w:styleId="466">
    <w:name w:val="标题 1 Char"/>
    <w:qFormat/>
    <w:uiPriority w:val="9"/>
    <w:rPr>
      <w:rFonts w:ascii="Cambria" w:hAnsi="Cambria" w:eastAsia="宋体" w:cs="Times New Roman"/>
      <w:b/>
      <w:bCs/>
      <w:color w:val="365F91"/>
      <w:sz w:val="28"/>
      <w:szCs w:val="28"/>
    </w:rPr>
  </w:style>
  <w:style w:type="character" w:customStyle="1" w:styleId="467">
    <w:name w:val="标题 2 Char"/>
    <w:semiHidden/>
    <w:qFormat/>
    <w:uiPriority w:val="9"/>
    <w:rPr>
      <w:rFonts w:ascii="Cambria" w:hAnsi="Cambria" w:eastAsia="宋体" w:cs="Times New Roman"/>
      <w:b/>
      <w:bCs/>
      <w:color w:val="4F81BD"/>
      <w:sz w:val="26"/>
      <w:szCs w:val="26"/>
    </w:rPr>
  </w:style>
  <w:style w:type="character" w:customStyle="1" w:styleId="468">
    <w:name w:val="标题 3 Char"/>
    <w:qFormat/>
    <w:uiPriority w:val="9"/>
    <w:rPr>
      <w:rFonts w:ascii="Cambria" w:hAnsi="Cambria" w:eastAsia="宋体" w:cs="Times New Roman"/>
      <w:b/>
      <w:bCs/>
      <w:color w:val="4F81BD"/>
    </w:rPr>
  </w:style>
  <w:style w:type="character" w:customStyle="1" w:styleId="469">
    <w:name w:val="标题 4 Char"/>
    <w:qFormat/>
    <w:uiPriority w:val="9"/>
    <w:rPr>
      <w:rFonts w:ascii="Cambria" w:hAnsi="Cambria" w:eastAsia="宋体" w:cs="Times New Roman"/>
      <w:b/>
      <w:bCs/>
      <w:i/>
      <w:iCs/>
      <w:color w:val="4F81BD"/>
    </w:rPr>
  </w:style>
  <w:style w:type="character" w:customStyle="1" w:styleId="470">
    <w:name w:val="标题 5 Char"/>
    <w:qFormat/>
    <w:uiPriority w:val="9"/>
    <w:rPr>
      <w:rFonts w:ascii="Cambria" w:hAnsi="Cambria" w:eastAsia="宋体" w:cs="Times New Roman"/>
      <w:color w:val="243F60"/>
    </w:rPr>
  </w:style>
  <w:style w:type="character" w:customStyle="1" w:styleId="471">
    <w:name w:val="标题 6 Char"/>
    <w:qFormat/>
    <w:uiPriority w:val="9"/>
    <w:rPr>
      <w:rFonts w:ascii="Cambria" w:hAnsi="Cambria" w:eastAsia="宋体" w:cs="Times New Roman"/>
      <w:i/>
      <w:iCs/>
      <w:color w:val="243F60"/>
    </w:rPr>
  </w:style>
  <w:style w:type="character" w:customStyle="1" w:styleId="472">
    <w:name w:val="标题 7 Char"/>
    <w:qFormat/>
    <w:uiPriority w:val="9"/>
    <w:rPr>
      <w:rFonts w:ascii="Cambria" w:hAnsi="Cambria" w:eastAsia="宋体" w:cs="Times New Roman"/>
      <w:i/>
      <w:iCs/>
      <w:color w:val="404040"/>
    </w:rPr>
  </w:style>
  <w:style w:type="character" w:customStyle="1" w:styleId="473">
    <w:name w:val="标题 8 Char"/>
    <w:qFormat/>
    <w:uiPriority w:val="9"/>
    <w:rPr>
      <w:rFonts w:ascii="Cambria" w:hAnsi="Cambria" w:eastAsia="宋体" w:cs="Times New Roman"/>
      <w:color w:val="4F81BD"/>
      <w:sz w:val="20"/>
      <w:szCs w:val="20"/>
    </w:rPr>
  </w:style>
  <w:style w:type="character" w:customStyle="1" w:styleId="474">
    <w:name w:val="标题 9 Char"/>
    <w:qFormat/>
    <w:uiPriority w:val="9"/>
    <w:rPr>
      <w:rFonts w:ascii="Cambria" w:hAnsi="Cambria" w:eastAsia="宋体" w:cs="Times New Roman"/>
      <w:i/>
      <w:iCs/>
      <w:color w:val="404040"/>
      <w:sz w:val="20"/>
      <w:szCs w:val="20"/>
    </w:rPr>
  </w:style>
  <w:style w:type="character" w:customStyle="1" w:styleId="475">
    <w:name w:val="标题 Char"/>
    <w:qFormat/>
    <w:uiPriority w:val="10"/>
    <w:rPr>
      <w:rFonts w:ascii="Cambria" w:hAnsi="Cambria" w:eastAsia="宋体" w:cs="Times New Roman"/>
      <w:color w:val="17365D"/>
      <w:spacing w:val="5"/>
      <w:kern w:val="28"/>
      <w:sz w:val="52"/>
      <w:szCs w:val="52"/>
    </w:rPr>
  </w:style>
  <w:style w:type="character" w:customStyle="1" w:styleId="476">
    <w:name w:val="副标题 Char"/>
    <w:qFormat/>
    <w:uiPriority w:val="11"/>
    <w:rPr>
      <w:rFonts w:ascii="Cambria" w:hAnsi="Cambria" w:eastAsia="宋体" w:cs="Times New Roman"/>
      <w:i/>
      <w:iCs/>
      <w:color w:val="4F81BD"/>
      <w:spacing w:val="15"/>
      <w:sz w:val="24"/>
      <w:szCs w:val="24"/>
    </w:rPr>
  </w:style>
  <w:style w:type="paragraph" w:customStyle="1" w:styleId="477">
    <w:name w:val="无间隔1"/>
    <w:qFormat/>
    <w:uiPriority w:val="1"/>
    <w:rPr>
      <w:rFonts w:ascii="Calibri" w:hAnsi="Calibri" w:eastAsia="宋体" w:cs="Times New Roman"/>
      <w:sz w:val="22"/>
      <w:szCs w:val="22"/>
      <w:lang w:val="en-US" w:eastAsia="en-US" w:bidi="en-US"/>
    </w:rPr>
  </w:style>
  <w:style w:type="paragraph" w:customStyle="1" w:styleId="478">
    <w:name w:val="列表段落1"/>
    <w:basedOn w:val="1"/>
    <w:qFormat/>
    <w:uiPriority w:val="34"/>
    <w:pPr>
      <w:ind w:left="720"/>
      <w:contextualSpacing/>
    </w:pPr>
  </w:style>
  <w:style w:type="paragraph" w:customStyle="1" w:styleId="479">
    <w:name w:val="引用1"/>
    <w:basedOn w:val="1"/>
    <w:next w:val="1"/>
    <w:link w:val="480"/>
    <w:qFormat/>
    <w:uiPriority w:val="29"/>
    <w:rPr>
      <w:i/>
      <w:iCs/>
      <w:color w:val="000000"/>
    </w:rPr>
  </w:style>
  <w:style w:type="character" w:customStyle="1" w:styleId="480">
    <w:name w:val="引用 Char"/>
    <w:link w:val="479"/>
    <w:qFormat/>
    <w:uiPriority w:val="29"/>
    <w:rPr>
      <w:i/>
      <w:iCs/>
      <w:color w:val="000000"/>
    </w:rPr>
  </w:style>
  <w:style w:type="paragraph" w:customStyle="1" w:styleId="481">
    <w:name w:val="明显引用1"/>
    <w:basedOn w:val="1"/>
    <w:next w:val="1"/>
    <w:link w:val="482"/>
    <w:qFormat/>
    <w:uiPriority w:val="30"/>
    <w:pPr>
      <w:pBdr>
        <w:bottom w:val="single" w:color="4F81BD" w:sz="4" w:space="4"/>
      </w:pBdr>
      <w:spacing w:before="200" w:after="280"/>
      <w:ind w:left="936" w:right="936"/>
    </w:pPr>
    <w:rPr>
      <w:b/>
      <w:bCs/>
      <w:i/>
      <w:iCs/>
      <w:color w:val="4F81BD"/>
    </w:rPr>
  </w:style>
  <w:style w:type="character" w:customStyle="1" w:styleId="482">
    <w:name w:val="明显引用 Char"/>
    <w:link w:val="481"/>
    <w:qFormat/>
    <w:uiPriority w:val="30"/>
    <w:rPr>
      <w:b/>
      <w:bCs/>
      <w:i/>
      <w:iCs/>
      <w:color w:val="4F81BD"/>
    </w:rPr>
  </w:style>
  <w:style w:type="character" w:customStyle="1" w:styleId="483">
    <w:name w:val="不明显强调1"/>
    <w:qFormat/>
    <w:uiPriority w:val="19"/>
    <w:rPr>
      <w:i/>
      <w:iCs/>
      <w:color w:val="808080"/>
    </w:rPr>
  </w:style>
  <w:style w:type="character" w:customStyle="1" w:styleId="484">
    <w:name w:val="明显强调1"/>
    <w:qFormat/>
    <w:uiPriority w:val="21"/>
    <w:rPr>
      <w:b/>
      <w:bCs/>
      <w:i/>
      <w:iCs/>
      <w:color w:val="4F81BD"/>
    </w:rPr>
  </w:style>
  <w:style w:type="character" w:customStyle="1" w:styleId="485">
    <w:name w:val="不明显参考1"/>
    <w:qFormat/>
    <w:uiPriority w:val="31"/>
    <w:rPr>
      <w:smallCaps/>
      <w:color w:val="C0504D"/>
      <w:u w:val="single"/>
    </w:rPr>
  </w:style>
  <w:style w:type="character" w:customStyle="1" w:styleId="486">
    <w:name w:val="明显参考1"/>
    <w:qFormat/>
    <w:uiPriority w:val="32"/>
    <w:rPr>
      <w:b/>
      <w:bCs/>
      <w:smallCaps/>
      <w:color w:val="C0504D"/>
      <w:spacing w:val="5"/>
      <w:u w:val="single"/>
    </w:rPr>
  </w:style>
  <w:style w:type="character" w:customStyle="1" w:styleId="487">
    <w:name w:val="书籍标题1"/>
    <w:qFormat/>
    <w:uiPriority w:val="33"/>
    <w:rPr>
      <w:b/>
      <w:bCs/>
      <w:smallCaps/>
      <w:spacing w:val="5"/>
    </w:rPr>
  </w:style>
  <w:style w:type="paragraph" w:customStyle="1" w:styleId="488">
    <w:name w:val="TOC 标题2"/>
    <w:basedOn w:val="3"/>
    <w:next w:val="1"/>
    <w:unhideWhenUsed/>
    <w:qFormat/>
    <w:uiPriority w:val="39"/>
    <w:pPr>
      <w:outlineLvl w:val="9"/>
    </w:pPr>
  </w:style>
  <w:style w:type="character" w:customStyle="1" w:styleId="489">
    <w:name w:val="apple-converted-space"/>
    <w:basedOn w:val="39"/>
    <w:qFormat/>
    <w:uiPriority w:val="0"/>
  </w:style>
  <w:style w:type="paragraph" w:customStyle="1" w:styleId="490">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bCs w:val="0"/>
      <w:sz w:val="28"/>
      <w:szCs w:val="20"/>
    </w:rPr>
  </w:style>
  <w:style w:type="paragraph" w:customStyle="1" w:styleId="491">
    <w:name w:val="_Style 1"/>
    <w:basedOn w:val="1"/>
    <w:qFormat/>
    <w:uiPriority w:val="34"/>
    <w:pPr>
      <w:ind w:firstLine="420" w:firstLineChars="200"/>
    </w:pPr>
  </w:style>
  <w:style w:type="paragraph" w:customStyle="1" w:styleId="492">
    <w:name w:val="列出段落3"/>
    <w:basedOn w:val="1"/>
    <w:qFormat/>
    <w:uiPriority w:val="34"/>
    <w:pPr>
      <w:ind w:left="720"/>
      <w:contextualSpacing/>
    </w:pPr>
  </w:style>
  <w:style w:type="paragraph" w:customStyle="1" w:styleId="493">
    <w:name w:val="列表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8F78CA-E29F-4AD6-8905-9EEA8A297B05}">
  <ds:schemaRefs/>
</ds:datastoreItem>
</file>

<file path=docProps/app.xml><?xml version="1.0" encoding="utf-8"?>
<Properties xmlns="http://schemas.openxmlformats.org/officeDocument/2006/extended-properties" xmlns:vt="http://schemas.openxmlformats.org/officeDocument/2006/docPropsVTypes">
  <Template>Normal</Template>
  <Company>COFCO</Company>
  <Pages>52</Pages>
  <Words>3813</Words>
  <Characters>21739</Characters>
  <Lines>181</Lines>
  <Paragraphs>51</Paragraphs>
  <TotalTime>22</TotalTime>
  <ScaleCrop>false</ScaleCrop>
  <LinksUpToDate>false</LinksUpToDate>
  <CharactersWithSpaces>25501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2019-08-19T10:51:00Z</dcterms:created>
  <dc:creator>wr</dc:creator>
  <cp:lastModifiedBy>简帆</cp:lastModifiedBy>
  <cp:lastPrinted>2021-08-18T01:28:00Z</cp:lastPrinted>
  <dcterms:modified xsi:type="dcterms:W3CDTF">2021-09-01T00:21:38Z</dcterms:modified>
  <dc:title>招标公告</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395D9CF31BAE43029E7847C5C0065767</vt:lpwstr>
  </property>
</Properties>
</file>