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5470C">
      <w:pPr>
        <w:rPr>
          <w:rFonts w:ascii="黑体" w:hAnsi="黑体" w:eastAsia="黑体" w:cs="黑体"/>
          <w:sz w:val="32"/>
          <w:szCs w:val="32"/>
        </w:rPr>
      </w:pPr>
      <w:bookmarkStart w:id="0" w:name="_GoBack"/>
      <w:bookmarkEnd w:id="0"/>
    </w:p>
    <w:p w14:paraId="7B23C30B">
      <w:pPr>
        <w:ind w:firstLine="1320" w:firstLineChars="30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企业合规师专业水平培训介绍</w:t>
      </w:r>
    </w:p>
    <w:p w14:paraId="3E3BEF0C">
      <w:pPr>
        <w:spacing w:line="240" w:lineRule="exact"/>
        <w:ind w:firstLine="1320" w:firstLineChars="300"/>
        <w:rPr>
          <w:rFonts w:ascii="方正小标宋_GBK" w:hAnsi="方正小标宋_GBK" w:eastAsia="方正小标宋_GBK" w:cs="方正小标宋_GBK"/>
          <w:sz w:val="44"/>
          <w:szCs w:val="44"/>
        </w:rPr>
      </w:pPr>
    </w:p>
    <w:p w14:paraId="27BF3006">
      <w:pPr>
        <w:rPr>
          <w:rFonts w:ascii="黑体" w:hAnsi="黑体" w:eastAsia="黑体" w:cs="黑体"/>
          <w:b/>
          <w:bCs/>
          <w:sz w:val="32"/>
          <w:szCs w:val="32"/>
        </w:rPr>
      </w:pPr>
      <w:r>
        <w:rPr>
          <w:rFonts w:hint="eastAsia" w:ascii="黑体" w:hAnsi="黑体" w:eastAsia="黑体" w:cs="黑体"/>
          <w:sz w:val="30"/>
          <w:szCs w:val="30"/>
        </w:rPr>
        <w:t xml:space="preserve">    </w:t>
      </w:r>
      <w:r>
        <w:rPr>
          <w:rFonts w:hint="eastAsia" w:ascii="黑体" w:hAnsi="黑体" w:eastAsia="黑体" w:cs="黑体"/>
          <w:sz w:val="32"/>
          <w:szCs w:val="32"/>
        </w:rPr>
        <w:t>一、背景介绍</w:t>
      </w:r>
    </w:p>
    <w:p w14:paraId="36BCA8C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合规师是经中国贸促会商事法律服务中心申报，由人力资源和社会保障部、国家市场监督管理总局、国家统计局三部门于2021年3月18日联合发布的国家新职业。在《中华人民共和国职业分类大典》中归类为第二大类——专业技术人员，同会计师、税务师、审计师、经济师、工程师、律师等同类别。企业合规师成为国家正式职业，是适应新时代企业高质量发展的需要。近年来，政府有关部门出台了一系列企业合规管理政策及指引，持续加快推进企业合规管理体系建设，不仅对企业合规经营和强化合规管理进行规制规范，也对合规管理人员的专业知识、业务素质、技术能力、操作水平提出更高的要求。企业合规管理正在向着专业化、职业化方向发展，需要大批掌握合规专门知识并具备实务专业技术能力的企业合规师。</w:t>
      </w:r>
    </w:p>
    <w:p w14:paraId="6197D70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着眼于推动企业合规师新职业规范有序发展，为企业合规建设提供有力人才保障，2022年9月，中国贸促会、中国企业联合会等共同发布的《企业合规师通用职业技术技能要求》职业标准，从知识架构、专业技术、职业素养三个维度对企业合规师的专业水平设定了衡量指标和评价办法。</w:t>
      </w:r>
    </w:p>
    <w:p w14:paraId="755CBD8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此背景下，中国贸促会商法中心作为企业合规师新职业的申报单位，推出企业合规师专业水平培训，立足于企业合规工作需求和具体实践，按照国家新职业管理相关规定，对学员合规管理基础知识、企业合规管理重点领域和重点流程环节开展专项培训，帮助学员建立企业合规管理所需的知识框架，快速提升合规管理实务操作能力，参与企业合规建设工作，拓宽职业发展道路。</w:t>
      </w:r>
    </w:p>
    <w:p w14:paraId="7049BA8B">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二、培训体系</w:t>
      </w:r>
    </w:p>
    <w:p w14:paraId="4BA54C5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合规师通过制定并实施企业合规管理规划、计划和制度，开展监督、调查和处理工作，管理企业合规义务风险，使企业及其内部成员行为符合法律法规、监管要求、行业规定和道德规范。企业合规师工作范围贯穿企业生产经营活动全过程，要求从业人员须以企业合规管理专业知识为基础，同时具备业务、法律、财务等跨学科、复合型知识结构，并且具备与企业各部门统筹协作、沟通协调的能力。</w:t>
      </w:r>
    </w:p>
    <w:p w14:paraId="2343F9FA">
      <w:pPr>
        <w:pStyle w:val="6"/>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合规师专业水平培训严格按照国家新职业培训工作要求，着眼于提升我国企业合规制度建设和管理水平，坚持职业发展导向，突出能力建设。依规科学设置学时和考核标准，采用理论知识和实务操作相结合的综合培训模式，注重提升学员的综合素质和实践能力。具体设置如下：</w:t>
      </w:r>
    </w:p>
    <w:p w14:paraId="406D8D6C">
      <w:pPr>
        <w:pStyle w:val="6"/>
        <w:rPr>
          <w:rFonts w:ascii="仿宋_GB2312" w:hAnsi="仿宋_GB2312" w:eastAsia="仿宋_GB2312" w:cs="仿宋_GB2312"/>
          <w:sz w:val="24"/>
        </w:rPr>
      </w:pPr>
    </w:p>
    <w:p w14:paraId="32FE95DB">
      <w:pPr>
        <w:pStyle w:val="6"/>
        <w:ind w:firstLine="300" w:firstLineChars="100"/>
        <w:rPr>
          <w:rFonts w:ascii="黑体" w:hAnsi="黑体" w:eastAsia="黑体" w:cs="黑体"/>
          <w:sz w:val="30"/>
          <w:szCs w:val="30"/>
        </w:rPr>
      </w:pPr>
      <w:r>
        <w:rPr>
          <w:rFonts w:hint="eastAsia" w:ascii="黑体" w:hAnsi="黑体" w:eastAsia="黑体" w:cs="黑体"/>
          <w:sz w:val="30"/>
          <w:szCs w:val="30"/>
        </w:rPr>
        <w:t>第一模块 企业合规管理通论——基础知识</w:t>
      </w:r>
    </w:p>
    <w:tbl>
      <w:tblPr>
        <w:tblStyle w:val="4"/>
        <w:tblpPr w:leftFromText="180" w:rightFromText="180" w:vertAnchor="text" w:horzAnchor="page" w:tblpX="1927"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025"/>
      </w:tblGrid>
      <w:tr w14:paraId="4937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0424BF5A">
            <w:pPr>
              <w:pStyle w:val="6"/>
              <w:ind w:firstLine="480"/>
              <w:rPr>
                <w:kern w:val="0"/>
                <w:sz w:val="24"/>
              </w:rPr>
            </w:pPr>
            <w:r>
              <w:rPr>
                <w:rFonts w:hint="eastAsia"/>
                <w:kern w:val="0"/>
                <w:sz w:val="24"/>
              </w:rPr>
              <w:t>序号</w:t>
            </w:r>
          </w:p>
        </w:tc>
        <w:tc>
          <w:tcPr>
            <w:tcW w:w="7025" w:type="dxa"/>
          </w:tcPr>
          <w:p w14:paraId="2FC078AF">
            <w:pPr>
              <w:pStyle w:val="6"/>
              <w:ind w:firstLine="480"/>
              <w:rPr>
                <w:kern w:val="0"/>
                <w:sz w:val="24"/>
              </w:rPr>
            </w:pPr>
            <w:r>
              <w:rPr>
                <w:rFonts w:hint="eastAsia"/>
                <w:kern w:val="0"/>
                <w:sz w:val="24"/>
              </w:rPr>
              <w:t xml:space="preserve"> </w:t>
            </w:r>
            <w:r>
              <w:rPr>
                <w:kern w:val="0"/>
                <w:sz w:val="24"/>
              </w:rPr>
              <w:t xml:space="preserve">                  </w:t>
            </w:r>
            <w:r>
              <w:rPr>
                <w:rFonts w:hint="eastAsia"/>
                <w:kern w:val="0"/>
                <w:sz w:val="24"/>
              </w:rPr>
              <w:t xml:space="preserve">   </w:t>
            </w:r>
            <w:r>
              <w:rPr>
                <w:kern w:val="0"/>
                <w:sz w:val="24"/>
              </w:rPr>
              <w:t xml:space="preserve">  </w:t>
            </w:r>
            <w:r>
              <w:rPr>
                <w:rFonts w:hint="eastAsia" w:ascii="仿宋_GB2312" w:hAnsi="仿宋_GB2312" w:eastAsia="仿宋_GB2312" w:cs="仿宋_GB2312"/>
                <w:b/>
                <w:bCs/>
                <w:kern w:val="0"/>
                <w:sz w:val="30"/>
                <w:szCs w:val="30"/>
              </w:rPr>
              <w:t>课程内容</w:t>
            </w:r>
          </w:p>
        </w:tc>
      </w:tr>
      <w:tr w14:paraId="787D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34C90F7E">
            <w:pPr>
              <w:pStyle w:val="6"/>
              <w:ind w:firstLine="480"/>
              <w:jc w:val="center"/>
              <w:rPr>
                <w:kern w:val="0"/>
                <w:sz w:val="24"/>
              </w:rPr>
            </w:pPr>
            <w:r>
              <w:rPr>
                <w:rFonts w:hint="eastAsia"/>
                <w:kern w:val="0"/>
                <w:sz w:val="24"/>
              </w:rPr>
              <w:t>1</w:t>
            </w:r>
          </w:p>
        </w:tc>
        <w:tc>
          <w:tcPr>
            <w:tcW w:w="7025" w:type="dxa"/>
          </w:tcPr>
          <w:p w14:paraId="6CC382B3">
            <w:pPr>
              <w:pStyle w:val="6"/>
              <w:ind w:firstLine="56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企业合规管理概论</w:t>
            </w:r>
          </w:p>
        </w:tc>
      </w:tr>
      <w:tr w14:paraId="60CE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296FBA8">
            <w:pPr>
              <w:pStyle w:val="6"/>
              <w:ind w:firstLine="480"/>
              <w:jc w:val="center"/>
              <w:rPr>
                <w:kern w:val="0"/>
                <w:sz w:val="24"/>
              </w:rPr>
            </w:pPr>
            <w:r>
              <w:rPr>
                <w:rFonts w:hint="eastAsia"/>
                <w:kern w:val="0"/>
                <w:sz w:val="24"/>
              </w:rPr>
              <w:t>2</w:t>
            </w:r>
          </w:p>
        </w:tc>
        <w:tc>
          <w:tcPr>
            <w:tcW w:w="7025" w:type="dxa"/>
          </w:tcPr>
          <w:p w14:paraId="6085C318">
            <w:pPr>
              <w:pStyle w:val="6"/>
              <w:ind w:firstLine="56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企业合规管理策划</w:t>
            </w:r>
          </w:p>
        </w:tc>
      </w:tr>
      <w:tr w14:paraId="4C9F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3C855689">
            <w:pPr>
              <w:pStyle w:val="6"/>
              <w:ind w:firstLine="480"/>
              <w:jc w:val="center"/>
              <w:rPr>
                <w:kern w:val="0"/>
                <w:sz w:val="24"/>
              </w:rPr>
            </w:pPr>
            <w:r>
              <w:rPr>
                <w:rFonts w:hint="eastAsia"/>
                <w:kern w:val="0"/>
                <w:sz w:val="24"/>
              </w:rPr>
              <w:t>3</w:t>
            </w:r>
          </w:p>
        </w:tc>
        <w:tc>
          <w:tcPr>
            <w:tcW w:w="7025" w:type="dxa"/>
          </w:tcPr>
          <w:p w14:paraId="29990FC6">
            <w:pPr>
              <w:pStyle w:val="6"/>
              <w:ind w:firstLine="56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企业合规义务管理</w:t>
            </w:r>
          </w:p>
        </w:tc>
      </w:tr>
      <w:tr w14:paraId="2BB1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44A94F9A">
            <w:pPr>
              <w:pStyle w:val="6"/>
              <w:ind w:firstLine="480"/>
              <w:jc w:val="center"/>
              <w:rPr>
                <w:kern w:val="0"/>
                <w:sz w:val="24"/>
              </w:rPr>
            </w:pPr>
            <w:r>
              <w:rPr>
                <w:rFonts w:hint="eastAsia"/>
                <w:kern w:val="0"/>
                <w:sz w:val="24"/>
              </w:rPr>
              <w:t>4</w:t>
            </w:r>
          </w:p>
        </w:tc>
        <w:tc>
          <w:tcPr>
            <w:tcW w:w="7025" w:type="dxa"/>
          </w:tcPr>
          <w:p w14:paraId="5AA7E023">
            <w:pPr>
              <w:pStyle w:val="6"/>
              <w:ind w:firstLine="56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企业合规风险识别与评估</w:t>
            </w:r>
          </w:p>
        </w:tc>
      </w:tr>
      <w:tr w14:paraId="68CA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34A5DF38">
            <w:pPr>
              <w:pStyle w:val="6"/>
              <w:ind w:firstLine="480"/>
              <w:jc w:val="center"/>
              <w:rPr>
                <w:kern w:val="0"/>
                <w:sz w:val="24"/>
              </w:rPr>
            </w:pPr>
            <w:r>
              <w:rPr>
                <w:rFonts w:hint="eastAsia"/>
                <w:kern w:val="0"/>
                <w:sz w:val="24"/>
              </w:rPr>
              <w:t>5</w:t>
            </w:r>
          </w:p>
        </w:tc>
        <w:tc>
          <w:tcPr>
            <w:tcW w:w="7025" w:type="dxa"/>
          </w:tcPr>
          <w:p w14:paraId="4C8D666D">
            <w:pPr>
              <w:pStyle w:val="6"/>
              <w:ind w:firstLine="56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企业合规管理组织体系</w:t>
            </w:r>
          </w:p>
        </w:tc>
      </w:tr>
      <w:tr w14:paraId="1656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7BA63E31">
            <w:pPr>
              <w:pStyle w:val="6"/>
              <w:ind w:firstLine="480"/>
              <w:jc w:val="center"/>
              <w:rPr>
                <w:kern w:val="0"/>
                <w:sz w:val="24"/>
              </w:rPr>
            </w:pPr>
            <w:r>
              <w:rPr>
                <w:rFonts w:hint="eastAsia"/>
                <w:kern w:val="0"/>
                <w:sz w:val="24"/>
              </w:rPr>
              <w:t>6</w:t>
            </w:r>
          </w:p>
        </w:tc>
        <w:tc>
          <w:tcPr>
            <w:tcW w:w="7025" w:type="dxa"/>
          </w:tcPr>
          <w:p w14:paraId="514B15D3">
            <w:pPr>
              <w:pStyle w:val="6"/>
              <w:ind w:firstLine="56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企业制度文件管理  </w:t>
            </w:r>
          </w:p>
        </w:tc>
      </w:tr>
      <w:tr w14:paraId="7B74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0C94A88C">
            <w:pPr>
              <w:pStyle w:val="6"/>
              <w:ind w:firstLine="480"/>
              <w:jc w:val="center"/>
              <w:rPr>
                <w:kern w:val="0"/>
                <w:sz w:val="24"/>
              </w:rPr>
            </w:pPr>
            <w:r>
              <w:rPr>
                <w:rFonts w:hint="eastAsia"/>
                <w:kern w:val="0"/>
                <w:sz w:val="24"/>
              </w:rPr>
              <w:t>7</w:t>
            </w:r>
          </w:p>
        </w:tc>
        <w:tc>
          <w:tcPr>
            <w:tcW w:w="7025" w:type="dxa"/>
          </w:tcPr>
          <w:p w14:paraId="1FF19BF8">
            <w:pPr>
              <w:pStyle w:val="6"/>
              <w:ind w:firstLine="56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企业合规管理实施机制</w:t>
            </w:r>
          </w:p>
        </w:tc>
      </w:tr>
      <w:tr w14:paraId="34A0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A2C42FA">
            <w:pPr>
              <w:pStyle w:val="6"/>
              <w:ind w:firstLine="480"/>
              <w:jc w:val="center"/>
              <w:rPr>
                <w:kern w:val="0"/>
                <w:sz w:val="24"/>
              </w:rPr>
            </w:pPr>
            <w:r>
              <w:rPr>
                <w:rFonts w:hint="eastAsia"/>
                <w:kern w:val="0"/>
                <w:sz w:val="24"/>
              </w:rPr>
              <w:t>8</w:t>
            </w:r>
          </w:p>
        </w:tc>
        <w:tc>
          <w:tcPr>
            <w:tcW w:w="7025" w:type="dxa"/>
          </w:tcPr>
          <w:p w14:paraId="214383F5">
            <w:pPr>
              <w:pStyle w:val="6"/>
              <w:ind w:firstLine="56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企业外部相关方合规管理</w:t>
            </w:r>
          </w:p>
        </w:tc>
      </w:tr>
      <w:tr w14:paraId="3D81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03E13C13">
            <w:pPr>
              <w:pStyle w:val="6"/>
              <w:ind w:firstLine="480"/>
              <w:jc w:val="center"/>
              <w:rPr>
                <w:kern w:val="0"/>
                <w:sz w:val="24"/>
              </w:rPr>
            </w:pPr>
            <w:r>
              <w:rPr>
                <w:rFonts w:hint="eastAsia"/>
                <w:kern w:val="0"/>
                <w:sz w:val="24"/>
              </w:rPr>
              <w:t>9</w:t>
            </w:r>
          </w:p>
        </w:tc>
        <w:tc>
          <w:tcPr>
            <w:tcW w:w="7025" w:type="dxa"/>
          </w:tcPr>
          <w:p w14:paraId="72B19B12">
            <w:pPr>
              <w:pStyle w:val="6"/>
              <w:ind w:firstLine="56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企业合规文化建设</w:t>
            </w:r>
          </w:p>
        </w:tc>
      </w:tr>
      <w:tr w14:paraId="6271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84ED1BE">
            <w:pPr>
              <w:pStyle w:val="6"/>
              <w:ind w:firstLine="480"/>
              <w:jc w:val="center"/>
              <w:rPr>
                <w:kern w:val="0"/>
                <w:sz w:val="24"/>
              </w:rPr>
            </w:pPr>
            <w:r>
              <w:rPr>
                <w:rFonts w:hint="eastAsia"/>
                <w:kern w:val="0"/>
                <w:sz w:val="24"/>
              </w:rPr>
              <w:t>1</w:t>
            </w:r>
            <w:r>
              <w:rPr>
                <w:kern w:val="0"/>
                <w:sz w:val="24"/>
              </w:rPr>
              <w:t>0</w:t>
            </w:r>
          </w:p>
        </w:tc>
        <w:tc>
          <w:tcPr>
            <w:tcW w:w="7025" w:type="dxa"/>
          </w:tcPr>
          <w:p w14:paraId="47F20514">
            <w:pPr>
              <w:pStyle w:val="6"/>
              <w:ind w:firstLine="56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企业合规管理体系评价与改进</w:t>
            </w:r>
          </w:p>
        </w:tc>
      </w:tr>
    </w:tbl>
    <w:p w14:paraId="1443B41B">
      <w:pPr>
        <w:pStyle w:val="6"/>
        <w:rPr>
          <w:sz w:val="24"/>
        </w:rPr>
      </w:pPr>
    </w:p>
    <w:p w14:paraId="186753BC">
      <w:pPr>
        <w:pStyle w:val="6"/>
        <w:ind w:firstLine="300" w:firstLineChars="100"/>
        <w:rPr>
          <w:rFonts w:ascii="黑体" w:hAnsi="黑体" w:eastAsia="黑体" w:cs="黑体"/>
          <w:sz w:val="30"/>
          <w:szCs w:val="30"/>
        </w:rPr>
      </w:pPr>
      <w:r>
        <w:rPr>
          <w:rFonts w:hint="eastAsia" w:ascii="黑体" w:hAnsi="黑体" w:eastAsia="黑体" w:cs="黑体"/>
          <w:sz w:val="30"/>
          <w:szCs w:val="30"/>
        </w:rPr>
        <w:t>第二模块 企业合规管理分论——重点领域</w:t>
      </w:r>
    </w:p>
    <w:p w14:paraId="3D2CE917">
      <w:pPr>
        <w:pStyle w:val="6"/>
        <w:rPr>
          <w:rFonts w:asciiTheme="minorHAnsi" w:hAnsiTheme="minorHAnsi" w:eastAsiaTheme="minorEastAsia" w:cstheme="minorBidi"/>
          <w:sz w:val="24"/>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6883"/>
      </w:tblGrid>
      <w:tr w14:paraId="6DCD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14:paraId="7130D520">
            <w:pPr>
              <w:pStyle w:val="6"/>
              <w:ind w:firstLine="480"/>
              <w:rPr>
                <w:kern w:val="0"/>
                <w:sz w:val="24"/>
              </w:rPr>
            </w:pPr>
            <w:r>
              <w:rPr>
                <w:rFonts w:hint="eastAsia"/>
                <w:kern w:val="0"/>
                <w:sz w:val="24"/>
              </w:rPr>
              <w:t>序号</w:t>
            </w:r>
          </w:p>
        </w:tc>
        <w:tc>
          <w:tcPr>
            <w:tcW w:w="6883" w:type="dxa"/>
          </w:tcPr>
          <w:p w14:paraId="5906131A">
            <w:pPr>
              <w:pStyle w:val="6"/>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b/>
                <w:bCs/>
                <w:kern w:val="0"/>
                <w:sz w:val="28"/>
                <w:szCs w:val="28"/>
              </w:rPr>
              <w:t>课程内容</w:t>
            </w:r>
          </w:p>
        </w:tc>
      </w:tr>
      <w:tr w14:paraId="5EB8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14:paraId="28F8F02A">
            <w:pPr>
              <w:pStyle w:val="6"/>
              <w:ind w:firstLine="480"/>
              <w:jc w:val="center"/>
              <w:rPr>
                <w:kern w:val="0"/>
                <w:sz w:val="24"/>
              </w:rPr>
            </w:pPr>
            <w:r>
              <w:rPr>
                <w:rFonts w:hint="eastAsia"/>
                <w:kern w:val="0"/>
                <w:sz w:val="24"/>
              </w:rPr>
              <w:t>1</w:t>
            </w:r>
          </w:p>
        </w:tc>
        <w:tc>
          <w:tcPr>
            <w:tcW w:w="6883" w:type="dxa"/>
          </w:tcPr>
          <w:p w14:paraId="1349C64E">
            <w:pPr>
              <w:pStyle w:val="6"/>
              <w:ind w:firstLine="56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反腐败与反商业贿赂合规</w:t>
            </w:r>
          </w:p>
        </w:tc>
      </w:tr>
      <w:tr w14:paraId="72D8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14:paraId="558611CB">
            <w:pPr>
              <w:pStyle w:val="6"/>
              <w:ind w:firstLine="480"/>
              <w:jc w:val="center"/>
              <w:rPr>
                <w:kern w:val="0"/>
                <w:sz w:val="24"/>
              </w:rPr>
            </w:pPr>
            <w:r>
              <w:rPr>
                <w:rFonts w:hint="eastAsia"/>
                <w:kern w:val="0"/>
                <w:sz w:val="24"/>
              </w:rPr>
              <w:t>2</w:t>
            </w:r>
          </w:p>
        </w:tc>
        <w:tc>
          <w:tcPr>
            <w:tcW w:w="6883" w:type="dxa"/>
          </w:tcPr>
          <w:p w14:paraId="73CF455C">
            <w:pPr>
              <w:pStyle w:val="6"/>
              <w:ind w:firstLine="56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贸易合规</w:t>
            </w:r>
          </w:p>
        </w:tc>
      </w:tr>
      <w:tr w14:paraId="5D49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14:paraId="310433FA">
            <w:pPr>
              <w:pStyle w:val="6"/>
              <w:ind w:firstLine="480"/>
              <w:jc w:val="center"/>
              <w:rPr>
                <w:kern w:val="0"/>
                <w:sz w:val="24"/>
              </w:rPr>
            </w:pPr>
            <w:r>
              <w:rPr>
                <w:rFonts w:hint="eastAsia"/>
                <w:kern w:val="0"/>
                <w:sz w:val="24"/>
              </w:rPr>
              <w:t>3</w:t>
            </w:r>
          </w:p>
        </w:tc>
        <w:tc>
          <w:tcPr>
            <w:tcW w:w="6883" w:type="dxa"/>
          </w:tcPr>
          <w:p w14:paraId="740B0BCB">
            <w:pPr>
              <w:pStyle w:val="6"/>
              <w:ind w:firstLine="56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网络安全与数据合规</w:t>
            </w:r>
          </w:p>
        </w:tc>
      </w:tr>
      <w:tr w14:paraId="405A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14:paraId="1503AA64">
            <w:pPr>
              <w:pStyle w:val="6"/>
              <w:ind w:firstLine="480"/>
              <w:jc w:val="center"/>
              <w:rPr>
                <w:kern w:val="0"/>
                <w:sz w:val="24"/>
              </w:rPr>
            </w:pPr>
            <w:r>
              <w:rPr>
                <w:rFonts w:hint="eastAsia"/>
                <w:kern w:val="0"/>
                <w:sz w:val="24"/>
              </w:rPr>
              <w:t>4</w:t>
            </w:r>
          </w:p>
        </w:tc>
        <w:tc>
          <w:tcPr>
            <w:tcW w:w="6883" w:type="dxa"/>
          </w:tcPr>
          <w:p w14:paraId="03933357">
            <w:pPr>
              <w:pStyle w:val="6"/>
              <w:ind w:firstLine="56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反垄断与反不正当竞争合规</w:t>
            </w:r>
          </w:p>
        </w:tc>
      </w:tr>
      <w:tr w14:paraId="5409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14:paraId="37BBF137">
            <w:pPr>
              <w:pStyle w:val="6"/>
              <w:ind w:firstLine="480"/>
              <w:jc w:val="center"/>
              <w:rPr>
                <w:kern w:val="0"/>
                <w:sz w:val="24"/>
              </w:rPr>
            </w:pPr>
            <w:r>
              <w:rPr>
                <w:rFonts w:hint="eastAsia"/>
                <w:kern w:val="0"/>
                <w:sz w:val="24"/>
              </w:rPr>
              <w:t>5</w:t>
            </w:r>
          </w:p>
        </w:tc>
        <w:tc>
          <w:tcPr>
            <w:tcW w:w="6883" w:type="dxa"/>
          </w:tcPr>
          <w:p w14:paraId="44A8A429">
            <w:pPr>
              <w:pStyle w:val="6"/>
              <w:ind w:firstLine="56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涉外经营合规</w:t>
            </w:r>
          </w:p>
        </w:tc>
      </w:tr>
      <w:tr w14:paraId="3FCA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14:paraId="2F9E0DCF">
            <w:pPr>
              <w:pStyle w:val="6"/>
              <w:ind w:firstLine="480"/>
              <w:jc w:val="center"/>
              <w:rPr>
                <w:kern w:val="0"/>
                <w:sz w:val="24"/>
              </w:rPr>
            </w:pPr>
            <w:r>
              <w:rPr>
                <w:rFonts w:hint="eastAsia"/>
                <w:kern w:val="0"/>
                <w:sz w:val="24"/>
              </w:rPr>
              <w:t>6</w:t>
            </w:r>
          </w:p>
        </w:tc>
        <w:tc>
          <w:tcPr>
            <w:tcW w:w="6883" w:type="dxa"/>
          </w:tcPr>
          <w:p w14:paraId="6DC659C3">
            <w:pPr>
              <w:pStyle w:val="6"/>
              <w:ind w:firstLine="56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财务合规管理  </w:t>
            </w:r>
          </w:p>
        </w:tc>
      </w:tr>
      <w:tr w14:paraId="3E86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14:paraId="75183AD0">
            <w:pPr>
              <w:pStyle w:val="6"/>
              <w:ind w:firstLine="480"/>
              <w:jc w:val="center"/>
              <w:rPr>
                <w:kern w:val="0"/>
                <w:sz w:val="24"/>
              </w:rPr>
            </w:pPr>
            <w:r>
              <w:rPr>
                <w:rFonts w:hint="eastAsia"/>
                <w:kern w:val="0"/>
                <w:sz w:val="24"/>
              </w:rPr>
              <w:t>7</w:t>
            </w:r>
          </w:p>
        </w:tc>
        <w:tc>
          <w:tcPr>
            <w:tcW w:w="6883" w:type="dxa"/>
          </w:tcPr>
          <w:p w14:paraId="4C8F5441">
            <w:pPr>
              <w:pStyle w:val="6"/>
              <w:ind w:firstLine="56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ESG(环境、社会和公司治理)管理</w:t>
            </w:r>
          </w:p>
        </w:tc>
      </w:tr>
      <w:tr w14:paraId="39D1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14:paraId="014AE666">
            <w:pPr>
              <w:pStyle w:val="6"/>
              <w:ind w:firstLine="480"/>
              <w:jc w:val="center"/>
              <w:rPr>
                <w:kern w:val="0"/>
                <w:sz w:val="24"/>
              </w:rPr>
            </w:pPr>
            <w:r>
              <w:rPr>
                <w:rFonts w:hint="eastAsia"/>
                <w:kern w:val="0"/>
                <w:sz w:val="24"/>
              </w:rPr>
              <w:t>8</w:t>
            </w:r>
          </w:p>
        </w:tc>
        <w:tc>
          <w:tcPr>
            <w:tcW w:w="6883" w:type="dxa"/>
          </w:tcPr>
          <w:p w14:paraId="75A68FD7">
            <w:pPr>
              <w:pStyle w:val="6"/>
              <w:ind w:firstLine="56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知识产权合规</w:t>
            </w:r>
          </w:p>
        </w:tc>
      </w:tr>
      <w:tr w14:paraId="2F49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14:paraId="443818AB">
            <w:pPr>
              <w:pStyle w:val="6"/>
              <w:ind w:firstLine="480"/>
              <w:jc w:val="center"/>
              <w:rPr>
                <w:kern w:val="0"/>
                <w:sz w:val="24"/>
              </w:rPr>
            </w:pPr>
            <w:r>
              <w:rPr>
                <w:rFonts w:hint="eastAsia"/>
                <w:kern w:val="0"/>
                <w:sz w:val="24"/>
              </w:rPr>
              <w:t>9</w:t>
            </w:r>
          </w:p>
        </w:tc>
        <w:tc>
          <w:tcPr>
            <w:tcW w:w="6883" w:type="dxa"/>
          </w:tcPr>
          <w:p w14:paraId="0E552D2E">
            <w:pPr>
              <w:pStyle w:val="6"/>
              <w:ind w:firstLine="56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出口管制和制裁应对</w:t>
            </w:r>
          </w:p>
        </w:tc>
      </w:tr>
    </w:tbl>
    <w:p w14:paraId="37C4D774">
      <w:pPr>
        <w:pStyle w:val="6"/>
        <w:rPr>
          <w:sz w:val="24"/>
        </w:rPr>
      </w:pPr>
    </w:p>
    <w:p w14:paraId="19B78150">
      <w:pPr>
        <w:pStyle w:val="6"/>
        <w:rPr>
          <w:sz w:val="24"/>
        </w:rPr>
      </w:pPr>
    </w:p>
    <w:p w14:paraId="3494CDF2">
      <w:pPr>
        <w:pStyle w:val="6"/>
        <w:rPr>
          <w:sz w:val="24"/>
        </w:rPr>
      </w:pPr>
    </w:p>
    <w:p w14:paraId="4CFEFABA">
      <w:pPr>
        <w:pStyle w:val="6"/>
        <w:ind w:firstLine="300" w:firstLineChars="100"/>
        <w:rPr>
          <w:rFonts w:ascii="黑体" w:hAnsi="黑体" w:eastAsia="黑体" w:cs="黑体"/>
          <w:sz w:val="30"/>
          <w:szCs w:val="30"/>
        </w:rPr>
      </w:pPr>
      <w:r>
        <w:rPr>
          <w:rFonts w:hint="eastAsia" w:ascii="黑体" w:hAnsi="黑体" w:eastAsia="黑体" w:cs="黑体"/>
          <w:sz w:val="30"/>
          <w:szCs w:val="30"/>
        </w:rPr>
        <w:t>第三模块 案例教学</w:t>
      </w:r>
    </w:p>
    <w:p w14:paraId="4BA30EE9">
      <w:pPr>
        <w:pStyle w:val="6"/>
        <w:rPr>
          <w:rFonts w:asciiTheme="minorHAnsi" w:hAnsiTheme="minorHAnsi" w:eastAsiaTheme="minorEastAsia" w:cstheme="minorBidi"/>
          <w:sz w:val="24"/>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6883"/>
      </w:tblGrid>
      <w:tr w14:paraId="5BF2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tcPr>
          <w:p w14:paraId="7C895DC2">
            <w:pPr>
              <w:pStyle w:val="6"/>
              <w:ind w:firstLine="480"/>
              <w:rPr>
                <w:kern w:val="0"/>
                <w:sz w:val="24"/>
              </w:rPr>
            </w:pPr>
            <w:r>
              <w:rPr>
                <w:rFonts w:hint="eastAsia"/>
                <w:kern w:val="0"/>
                <w:sz w:val="24"/>
              </w:rPr>
              <w:t>序号</w:t>
            </w:r>
          </w:p>
        </w:tc>
        <w:tc>
          <w:tcPr>
            <w:tcW w:w="6883" w:type="dxa"/>
          </w:tcPr>
          <w:p w14:paraId="5EE726C8">
            <w:pPr>
              <w:pStyle w:val="6"/>
              <w:ind w:firstLine="56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b/>
                <w:bCs/>
                <w:kern w:val="0"/>
                <w:sz w:val="28"/>
                <w:szCs w:val="28"/>
              </w:rPr>
              <w:t>课程内容</w:t>
            </w:r>
          </w:p>
        </w:tc>
      </w:tr>
      <w:tr w14:paraId="7BED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14:paraId="57C29320">
            <w:pPr>
              <w:pStyle w:val="6"/>
              <w:ind w:firstLine="480"/>
              <w:jc w:val="center"/>
              <w:rPr>
                <w:kern w:val="0"/>
                <w:sz w:val="24"/>
              </w:rPr>
            </w:pPr>
            <w:r>
              <w:rPr>
                <w:rFonts w:hint="eastAsia"/>
                <w:kern w:val="0"/>
                <w:sz w:val="24"/>
              </w:rPr>
              <w:t>1</w:t>
            </w:r>
          </w:p>
        </w:tc>
        <w:tc>
          <w:tcPr>
            <w:tcW w:w="6883" w:type="dxa"/>
          </w:tcPr>
          <w:p w14:paraId="0AF22E22">
            <w:pPr>
              <w:pStyle w:val="6"/>
              <w:ind w:firstLine="56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企业合规体系建设及管理实务案例解析</w:t>
            </w:r>
          </w:p>
        </w:tc>
      </w:tr>
      <w:tr w14:paraId="2EDA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14:paraId="1BBE6E26">
            <w:pPr>
              <w:pStyle w:val="6"/>
              <w:ind w:firstLine="480"/>
              <w:jc w:val="center"/>
              <w:rPr>
                <w:kern w:val="0"/>
                <w:sz w:val="24"/>
              </w:rPr>
            </w:pPr>
            <w:r>
              <w:rPr>
                <w:rFonts w:hint="eastAsia"/>
                <w:kern w:val="0"/>
                <w:sz w:val="24"/>
              </w:rPr>
              <w:t>2</w:t>
            </w:r>
          </w:p>
        </w:tc>
        <w:tc>
          <w:tcPr>
            <w:tcW w:w="6883" w:type="dxa"/>
          </w:tcPr>
          <w:p w14:paraId="28CB51A4">
            <w:pPr>
              <w:pStyle w:val="6"/>
              <w:ind w:firstLine="56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重点合规领域案例解析</w:t>
            </w:r>
          </w:p>
        </w:tc>
      </w:tr>
    </w:tbl>
    <w:p w14:paraId="7B492B57"/>
    <w:p w14:paraId="6FDDF0CC">
      <w:pPr>
        <w:pStyle w:val="2"/>
        <w:rPr>
          <w:rFonts w:hint="eastAsia"/>
          <w:lang w:val="en-US" w:eastAsia="zh-CN"/>
        </w:rPr>
      </w:pPr>
    </w:p>
    <w:p w14:paraId="70C45D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02FF3"/>
    <w:rsid w:val="14402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560" w:lineRule="exact"/>
    </w:pPr>
  </w:style>
  <w:style w:type="table" w:styleId="4">
    <w:name w:val="Table Grid"/>
    <w:basedOn w:val="3"/>
    <w:qFormat/>
    <w:uiPriority w:val="0"/>
    <w:pPr>
      <w:widowControl w:val="0"/>
      <w:jc w:val="both"/>
    </w:pPr>
    <w:rPr>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标准正文"/>
    <w:basedOn w:val="1"/>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2025-03-17T07:25:00Z</dcterms:created>
  <dc:creator>vera</dc:creator>
  <cp:lastModifiedBy>vera</cp:lastModifiedBy>
  <dcterms:modified xsi:type="dcterms:W3CDTF">2025-03-17T07:25:18Z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B7BAF62AD8DB44378F612BCDF8D05898_11</vt:lpwstr>
  </property>
  <property fmtid="{D5CDD505-2E9C-101B-9397-08002B2CF9AE}" pid="4" name="KSOTemplateDocerSaveRecord">
    <vt:lpwstr>eyJoZGlkIjoiOGRjZjBmZWNjY2E1ZjNhZDY1ZjkzNDlkYWM0MGY2NGYifQ==</vt:lpwstr>
  </property>
</Properties>
</file>